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1F4E79"/>
          <w:sz w:val="32"/>
          <w:szCs w:val="32"/>
        </w:rPr>
        <w:t xml:space="preserve">Mapping the Opportunity — how it was built</w:t>
      </w:r>
    </w:p>
    <w:p>
      <w:pPr>
        <w:spacing w:after="40"/>
        <w:jc w:val="center"/>
      </w:pPr>
      <w:r>
        <w:rPr>
          <w:sz w:val="23"/>
          <w:szCs w:val="23"/>
        </w:rPr>
        <w:t xml:space="preserve">Method, reliability and findings behind the southern England screen</w:t>
      </w:r>
    </w:p>
    <w:p>
      <w:pPr>
        <w:spacing w:after="230"/>
        <w:jc w:val="center"/>
      </w:pPr>
      <w:r>
        <w:rPr>
          <w:i/>
          <w:iCs/>
          <w:color w:val="666666"/>
          <w:sz w:val="18"/>
          <w:szCs w:val="18"/>
        </w:rPr>
        <w:t xml:space="preserve">Technical companion note  |  August 2026</w:t>
      </w:r>
    </w:p>
    <w:p>
      <w:pPr>
        <w:spacing w:after="115"/>
      </w:pPr>
      <w:r>
        <w:rPr>
          <w:sz w:val="20"/>
          <w:szCs w:val="20"/>
        </w:rPr>
        <w:t xml:space="preserve">This note explains how the southern England screen was produced, how far each step can be trusted, and what the resulting numbers do and do not mean. It is written to be argued with: every judgement is named, every weakness stated, and every figure traceable to an open dataset.</w:t>
      </w:r>
    </w:p>
    <w:p>
      <w:pPr>
        <w:pStyle w:val="Heading1"/>
        <w:spacing w:after="115" w:before="250"/>
      </w:pPr>
      <w:r>
        <w:t xml:space="preserve">1. The data</w:t>
      </w:r>
    </w:p>
    <w:p>
      <w:pPr>
        <w:spacing w:after="115"/>
      </w:pPr>
      <w:r>
        <w:rPr>
          <w:sz w:val="20"/>
          <w:szCs w:val="20"/>
        </w:rPr>
        <w:t xml:space="preserve">Everything used is open, and everything is vector or tabular - there is deliberately no terrain data and no satellite imagery, so the whole analysis runs on an ordinary laptop from about 130 MB of downloads. The study area is Somerset to Kent, the south coast to roughly the Thames: 365 by 140 kilometres.</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500"/>
        <w:gridCol w:w="3500"/>
        <w:gridCol w:w="1500"/>
        <w:gridCol w:w="1800"/>
      </w:tblGrid>
      <w:tr>
        <w:tc>
          <w:tcPr>
            <w:tcW w:type="dxa" w:w="2500"/>
            <w:shd w:fill="DCE6F1" w:val="clear"/>
            <w:tcMar>
              <w:top w:type="dxa" w:w="50"/>
              <w:left w:type="dxa" w:w="80"/>
              <w:bottom w:type="dxa" w:w="50"/>
              <w:right w:type="dxa" w:w="80"/>
            </w:tcMar>
          </w:tcPr>
          <w:p>
            <w:r>
              <w:rPr>
                <w:b/>
                <w:bCs/>
                <w:sz w:val="17"/>
                <w:szCs w:val="17"/>
              </w:rPr>
              <w:t xml:space="preserve">Dataset</w:t>
            </w:r>
          </w:p>
        </w:tc>
        <w:tc>
          <w:tcPr>
            <w:tcW w:type="dxa" w:w="3500"/>
            <w:shd w:fill="DCE6F1" w:val="clear"/>
            <w:tcMar>
              <w:top w:type="dxa" w:w="50"/>
              <w:left w:type="dxa" w:w="80"/>
              <w:bottom w:type="dxa" w:w="50"/>
              <w:right w:type="dxa" w:w="80"/>
            </w:tcMar>
          </w:tcPr>
          <w:p>
            <w:r>
              <w:rPr>
                <w:b/>
                <w:bCs/>
                <w:sz w:val="17"/>
                <w:szCs w:val="17"/>
              </w:rPr>
              <w:t xml:space="preserve">What it gives us</w:t>
            </w:r>
          </w:p>
        </w:tc>
        <w:tc>
          <w:tcPr>
            <w:tcW w:type="dxa" w:w="1500"/>
            <w:shd w:fill="DCE6F1" w:val="clear"/>
            <w:tcMar>
              <w:top w:type="dxa" w:w="50"/>
              <w:left w:type="dxa" w:w="80"/>
              <w:bottom w:type="dxa" w:w="50"/>
              <w:right w:type="dxa" w:w="80"/>
            </w:tcMar>
          </w:tcPr>
          <w:p>
            <w:r>
              <w:rPr>
                <w:b/>
                <w:bCs/>
                <w:sz w:val="17"/>
                <w:szCs w:val="17"/>
              </w:rPr>
              <w:t xml:space="preserve">In our area</w:t>
            </w:r>
          </w:p>
        </w:tc>
        <w:tc>
          <w:tcPr>
            <w:tcW w:type="dxa" w:w="1800"/>
            <w:shd w:fill="DCE6F1" w:val="clear"/>
            <w:tcMar>
              <w:top w:type="dxa" w:w="50"/>
              <w:left w:type="dxa" w:w="80"/>
              <w:bottom w:type="dxa" w:w="50"/>
              <w:right w:type="dxa" w:w="80"/>
            </w:tcMar>
          </w:tcPr>
          <w:p>
            <w:r>
              <w:rPr>
                <w:b/>
                <w:bCs/>
                <w:sz w:val="17"/>
                <w:szCs w:val="17"/>
              </w:rPr>
              <w:t xml:space="preserve">Source</w:t>
            </w:r>
          </w:p>
        </w:tc>
      </w:tr>
      <w:tr>
        <w:tc>
          <w:tcPr>
            <w:tcW w:type="dxa" w:w="2500"/>
            <w:tcMar>
              <w:top w:type="dxa" w:w="50"/>
              <w:left w:type="dxa" w:w="80"/>
              <w:bottom w:type="dxa" w:w="50"/>
              <w:right w:type="dxa" w:w="80"/>
            </w:tcMar>
          </w:tcPr>
          <w:p>
            <w:r>
              <w:rPr>
                <w:b w:val="false"/>
                <w:bCs w:val="false"/>
                <w:sz w:val="17"/>
                <w:szCs w:val="17"/>
              </w:rPr>
              <w:t xml:space="preserve">EA Hydrology API</w:t>
            </w:r>
          </w:p>
        </w:tc>
        <w:tc>
          <w:tcPr>
            <w:tcW w:type="dxa" w:w="3500"/>
            <w:tcMar>
              <w:top w:type="dxa" w:w="50"/>
              <w:left w:type="dxa" w:w="80"/>
              <w:bottom w:type="dxa" w:w="50"/>
              <w:right w:type="dxa" w:w="80"/>
            </w:tcMar>
          </w:tcPr>
          <w:p>
            <w:r>
              <w:rPr>
                <w:b w:val="false"/>
                <w:bCs w:val="false"/>
                <w:sz w:val="17"/>
                <w:szCs w:val="17"/>
              </w:rPr>
              <w:t xml:space="preserve">Daily mean river flow, 2015-2025</w:t>
            </w:r>
          </w:p>
        </w:tc>
        <w:tc>
          <w:tcPr>
            <w:tcW w:type="dxa" w:w="1500"/>
            <w:tcMar>
              <w:top w:type="dxa" w:w="50"/>
              <w:left w:type="dxa" w:w="80"/>
              <w:bottom w:type="dxa" w:w="50"/>
              <w:right w:type="dxa" w:w="80"/>
            </w:tcMar>
          </w:tcPr>
          <w:p>
            <w:r>
              <w:rPr>
                <w:b w:val="false"/>
                <w:bCs w:val="false"/>
                <w:sz w:val="17"/>
                <w:szCs w:val="17"/>
              </w:rPr>
              <w:t xml:space="preserve">374 stations, 1.47M readings</w:t>
            </w:r>
          </w:p>
        </w:tc>
        <w:tc>
          <w:tcPr>
            <w:tcW w:type="dxa" w:w="1800"/>
            <w:tcMar>
              <w:top w:type="dxa" w:w="50"/>
              <w:left w:type="dxa" w:w="80"/>
              <w:bottom w:type="dxa" w:w="50"/>
              <w:right w:type="dxa" w:w="80"/>
            </w:tcMar>
          </w:tcPr>
          <w:p>
            <w:r>
              <w:rPr>
                <w:b w:val="false"/>
                <w:bCs w:val="false"/>
                <w:sz w:val="17"/>
                <w:szCs w:val="17"/>
              </w:rPr>
              <w:t xml:space="preserve">Environment Agency</w:t>
            </w:r>
          </w:p>
        </w:tc>
      </w:tr>
      <w:tr>
        <w:tc>
          <w:tcPr>
            <w:tcW w:type="dxa" w:w="2500"/>
            <w:tcMar>
              <w:top w:type="dxa" w:w="50"/>
              <w:left w:type="dxa" w:w="80"/>
              <w:bottom w:type="dxa" w:w="50"/>
              <w:right w:type="dxa" w:w="80"/>
            </w:tcMar>
          </w:tcPr>
          <w:p>
            <w:r>
              <w:rPr>
                <w:b w:val="false"/>
                <w:bCs w:val="false"/>
                <w:sz w:val="17"/>
                <w:szCs w:val="17"/>
              </w:rPr>
              <w:t xml:space="preserve">BGS 1:625k Hydrogeology</w:t>
            </w:r>
          </w:p>
        </w:tc>
        <w:tc>
          <w:tcPr>
            <w:tcW w:type="dxa" w:w="3500"/>
            <w:tcMar>
              <w:top w:type="dxa" w:w="50"/>
              <w:left w:type="dxa" w:w="80"/>
              <w:bottom w:type="dxa" w:w="50"/>
              <w:right w:type="dxa" w:w="80"/>
            </w:tcMar>
          </w:tcPr>
          <w:p>
            <w:r>
              <w:rPr>
                <w:b w:val="false"/>
                <w:bCs w:val="false"/>
                <w:sz w:val="17"/>
                <w:szCs w:val="17"/>
              </w:rPr>
              <w:t xml:space="preserve">Which rock is where, and how productive</w:t>
            </w:r>
          </w:p>
        </w:tc>
        <w:tc>
          <w:tcPr>
            <w:tcW w:type="dxa" w:w="1500"/>
            <w:tcMar>
              <w:top w:type="dxa" w:w="50"/>
              <w:left w:type="dxa" w:w="80"/>
              <w:bottom w:type="dxa" w:w="50"/>
              <w:right w:type="dxa" w:w="80"/>
            </w:tcMar>
          </w:tcPr>
          <w:p>
            <w:r>
              <w:rPr>
                <w:b w:val="false"/>
                <w:bCs w:val="false"/>
                <w:sz w:val="17"/>
                <w:szCs w:val="17"/>
              </w:rPr>
              <w:t xml:space="preserve">2,485 polygons</w:t>
            </w:r>
          </w:p>
        </w:tc>
        <w:tc>
          <w:tcPr>
            <w:tcW w:type="dxa" w:w="1800"/>
            <w:tcMar>
              <w:top w:type="dxa" w:w="50"/>
              <w:left w:type="dxa" w:w="80"/>
              <w:bottom w:type="dxa" w:w="50"/>
              <w:right w:type="dxa" w:w="80"/>
            </w:tcMar>
          </w:tcPr>
          <w:p>
            <w:r>
              <w:rPr>
                <w:b w:val="false"/>
                <w:bCs w:val="false"/>
                <w:sz w:val="17"/>
                <w:szCs w:val="17"/>
              </w:rPr>
              <w:t xml:space="preserve">BGS / UKRI</w:t>
            </w:r>
          </w:p>
        </w:tc>
      </w:tr>
      <w:tr>
        <w:tc>
          <w:tcPr>
            <w:tcW w:type="dxa" w:w="2500"/>
            <w:tcMar>
              <w:top w:type="dxa" w:w="50"/>
              <w:left w:type="dxa" w:w="80"/>
              <w:bottom w:type="dxa" w:w="50"/>
              <w:right w:type="dxa" w:w="80"/>
            </w:tcMar>
          </w:tcPr>
          <w:p>
            <w:r>
              <w:rPr>
                <w:b w:val="false"/>
                <w:bCs w:val="false"/>
                <w:sz w:val="17"/>
                <w:szCs w:val="17"/>
              </w:rPr>
              <w:t xml:space="preserve">WFD Groundwater Bodies</w:t>
            </w:r>
          </w:p>
        </w:tc>
        <w:tc>
          <w:tcPr>
            <w:tcW w:type="dxa" w:w="3500"/>
            <w:tcMar>
              <w:top w:type="dxa" w:w="50"/>
              <w:left w:type="dxa" w:w="80"/>
              <w:bottom w:type="dxa" w:w="50"/>
              <w:right w:type="dxa" w:w="80"/>
            </w:tcMar>
          </w:tcPr>
          <w:p>
            <w:r>
              <w:rPr>
                <w:b w:val="false"/>
                <w:bCs w:val="false"/>
                <w:sz w:val="17"/>
                <w:szCs w:val="17"/>
              </w:rPr>
              <w:t xml:space="preserve">Regulatory units and their health status</w:t>
            </w:r>
          </w:p>
        </w:tc>
        <w:tc>
          <w:tcPr>
            <w:tcW w:type="dxa" w:w="1500"/>
            <w:tcMar>
              <w:top w:type="dxa" w:w="50"/>
              <w:left w:type="dxa" w:w="80"/>
              <w:bottom w:type="dxa" w:w="50"/>
              <w:right w:type="dxa" w:w="80"/>
            </w:tcMar>
          </w:tcPr>
          <w:p>
            <w:r>
              <w:rPr>
                <w:b w:val="false"/>
                <w:bCs w:val="false"/>
                <w:sz w:val="17"/>
                <w:szCs w:val="17"/>
              </w:rPr>
              <w:t xml:space="preserve">123 bodies</w:t>
            </w:r>
          </w:p>
        </w:tc>
        <w:tc>
          <w:tcPr>
            <w:tcW w:type="dxa" w:w="1800"/>
            <w:tcMar>
              <w:top w:type="dxa" w:w="50"/>
              <w:left w:type="dxa" w:w="80"/>
              <w:bottom w:type="dxa" w:w="50"/>
              <w:right w:type="dxa" w:w="80"/>
            </w:tcMar>
          </w:tcPr>
          <w:p>
            <w:r>
              <w:rPr>
                <w:b w:val="false"/>
                <w:bCs w:val="false"/>
                <w:sz w:val="17"/>
                <w:szCs w:val="17"/>
              </w:rPr>
              <w:t xml:space="preserve">Environment Agency</w:t>
            </w:r>
          </w:p>
        </w:tc>
      </w:tr>
      <w:tr>
        <w:tc>
          <w:tcPr>
            <w:tcW w:type="dxa" w:w="2500"/>
            <w:tcMar>
              <w:top w:type="dxa" w:w="50"/>
              <w:left w:type="dxa" w:w="80"/>
              <w:bottom w:type="dxa" w:w="50"/>
              <w:right w:type="dxa" w:w="80"/>
            </w:tcMar>
          </w:tcPr>
          <w:p>
            <w:r>
              <w:rPr>
                <w:b w:val="false"/>
                <w:bCs w:val="false"/>
                <w:sz w:val="17"/>
                <w:szCs w:val="17"/>
              </w:rPr>
              <w:t xml:space="preserve">OS Open Rivers</w:t>
            </w:r>
          </w:p>
        </w:tc>
        <w:tc>
          <w:tcPr>
            <w:tcW w:type="dxa" w:w="3500"/>
            <w:tcMar>
              <w:top w:type="dxa" w:w="50"/>
              <w:left w:type="dxa" w:w="80"/>
              <w:bottom w:type="dxa" w:w="50"/>
              <w:right w:type="dxa" w:w="80"/>
            </w:tcMar>
          </w:tcPr>
          <w:p>
            <w:r>
              <w:rPr>
                <w:b w:val="false"/>
                <w:bCs w:val="false"/>
                <w:sz w:val="17"/>
                <w:szCs w:val="17"/>
              </w:rPr>
              <w:t xml:space="preserve">The river network, and which way it flows</w:t>
            </w:r>
          </w:p>
        </w:tc>
        <w:tc>
          <w:tcPr>
            <w:tcW w:type="dxa" w:w="1500"/>
            <w:tcMar>
              <w:top w:type="dxa" w:w="50"/>
              <w:left w:type="dxa" w:w="80"/>
              <w:bottom w:type="dxa" w:w="50"/>
              <w:right w:type="dxa" w:w="80"/>
            </w:tcMar>
          </w:tcPr>
          <w:p>
            <w:r>
              <w:rPr>
                <w:b w:val="false"/>
                <w:bCs w:val="false"/>
                <w:sz w:val="17"/>
                <w:szCs w:val="17"/>
              </w:rPr>
              <w:t xml:space="preserve">24,714 links</w:t>
            </w:r>
          </w:p>
        </w:tc>
        <w:tc>
          <w:tcPr>
            <w:tcW w:type="dxa" w:w="1800"/>
            <w:tcMar>
              <w:top w:type="dxa" w:w="50"/>
              <w:left w:type="dxa" w:w="80"/>
              <w:bottom w:type="dxa" w:w="50"/>
              <w:right w:type="dxa" w:w="80"/>
            </w:tcMar>
          </w:tcPr>
          <w:p>
            <w:r>
              <w:rPr>
                <w:b w:val="false"/>
                <w:bCs w:val="false"/>
                <w:sz w:val="17"/>
                <w:szCs w:val="17"/>
              </w:rPr>
              <w:t xml:space="preserve">Ordnance Survey</w:t>
            </w:r>
          </w:p>
        </w:tc>
      </w:tr>
      <w:tr>
        <w:tc>
          <w:tcPr>
            <w:tcW w:type="dxa" w:w="2500"/>
            <w:tcMar>
              <w:top w:type="dxa" w:w="50"/>
              <w:left w:type="dxa" w:w="80"/>
              <w:bottom w:type="dxa" w:w="50"/>
              <w:right w:type="dxa" w:w="80"/>
            </w:tcMar>
          </w:tcPr>
          <w:p>
            <w:r>
              <w:rPr>
                <w:b w:val="false"/>
                <w:bCs w:val="false"/>
                <w:sz w:val="17"/>
                <w:szCs w:val="17"/>
              </w:rPr>
              <w:t xml:space="preserve">BGS GeoIndex boreholes</w:t>
            </w:r>
          </w:p>
        </w:tc>
        <w:tc>
          <w:tcPr>
            <w:tcW w:type="dxa" w:w="3500"/>
            <w:tcMar>
              <w:top w:type="dxa" w:w="50"/>
              <w:left w:type="dxa" w:w="80"/>
              <w:bottom w:type="dxa" w:w="50"/>
              <w:right w:type="dxa" w:w="80"/>
            </w:tcMar>
          </w:tcPr>
          <w:p>
            <w:r>
              <w:rPr>
                <w:b w:val="false"/>
                <w:bCs w:val="false"/>
                <w:sz w:val="17"/>
                <w:szCs w:val="17"/>
              </w:rPr>
              <w:t xml:space="preserve">Where holes were drilled, and how deep</w:t>
            </w:r>
          </w:p>
        </w:tc>
        <w:tc>
          <w:tcPr>
            <w:tcW w:type="dxa" w:w="1500"/>
            <w:tcMar>
              <w:top w:type="dxa" w:w="50"/>
              <w:left w:type="dxa" w:w="80"/>
              <w:bottom w:type="dxa" w:w="50"/>
              <w:right w:type="dxa" w:w="80"/>
            </w:tcMar>
          </w:tcPr>
          <w:p>
            <w:r>
              <w:rPr>
                <w:b w:val="false"/>
                <w:bCs w:val="false"/>
                <w:sz w:val="17"/>
                <w:szCs w:val="17"/>
              </w:rPr>
              <w:t xml:space="preserve">248,516 records</w:t>
            </w:r>
          </w:p>
        </w:tc>
        <w:tc>
          <w:tcPr>
            <w:tcW w:type="dxa" w:w="1800"/>
            <w:tcMar>
              <w:top w:type="dxa" w:w="50"/>
              <w:left w:type="dxa" w:w="80"/>
              <w:bottom w:type="dxa" w:w="50"/>
              <w:right w:type="dxa" w:w="80"/>
            </w:tcMar>
          </w:tcPr>
          <w:p>
            <w:r>
              <w:rPr>
                <w:b w:val="false"/>
                <w:bCs w:val="false"/>
                <w:sz w:val="17"/>
                <w:szCs w:val="17"/>
              </w:rPr>
              <w:t xml:space="preserve">BGS / UKRI</w:t>
            </w:r>
          </w:p>
        </w:tc>
      </w:tr>
      <w:tr>
        <w:tc>
          <w:tcPr>
            <w:tcW w:type="dxa" w:w="2500"/>
            <w:tcMar>
              <w:top w:type="dxa" w:w="50"/>
              <w:left w:type="dxa" w:w="80"/>
              <w:bottom w:type="dxa" w:w="50"/>
              <w:right w:type="dxa" w:w="80"/>
            </w:tcMar>
          </w:tcPr>
          <w:p>
            <w:r>
              <w:rPr>
                <w:b w:val="false"/>
                <w:bCs w:val="false"/>
                <w:sz w:val="17"/>
                <w:szCs w:val="17"/>
              </w:rPr>
              <w:t xml:space="preserve">Source Protection Zones</w:t>
            </w:r>
          </w:p>
        </w:tc>
        <w:tc>
          <w:tcPr>
            <w:tcW w:type="dxa" w:w="3500"/>
            <w:tcMar>
              <w:top w:type="dxa" w:w="50"/>
              <w:left w:type="dxa" w:w="80"/>
              <w:bottom w:type="dxa" w:w="50"/>
              <w:right w:type="dxa" w:w="80"/>
            </w:tcMar>
          </w:tcPr>
          <w:p>
            <w:r>
              <w:rPr>
                <w:b w:val="false"/>
                <w:bCs w:val="false"/>
                <w:sz w:val="17"/>
                <w:szCs w:val="17"/>
              </w:rPr>
              <w:t xml:space="preserve">Groundwater protected for public supply</w:t>
            </w:r>
          </w:p>
        </w:tc>
        <w:tc>
          <w:tcPr>
            <w:tcW w:type="dxa" w:w="1500"/>
            <w:tcMar>
              <w:top w:type="dxa" w:w="50"/>
              <w:left w:type="dxa" w:w="80"/>
              <w:bottom w:type="dxa" w:w="50"/>
              <w:right w:type="dxa" w:w="80"/>
            </w:tcMar>
          </w:tcPr>
          <w:p>
            <w:r>
              <w:rPr>
                <w:b w:val="false"/>
                <w:bCs w:val="false"/>
                <w:sz w:val="17"/>
                <w:szCs w:val="17"/>
              </w:rPr>
              <w:t xml:space="preserve">1,789 zones</w:t>
            </w:r>
          </w:p>
        </w:tc>
        <w:tc>
          <w:tcPr>
            <w:tcW w:type="dxa" w:w="1800"/>
            <w:tcMar>
              <w:top w:type="dxa" w:w="50"/>
              <w:left w:type="dxa" w:w="80"/>
              <w:bottom w:type="dxa" w:w="50"/>
              <w:right w:type="dxa" w:w="80"/>
            </w:tcMar>
          </w:tcPr>
          <w:p>
            <w:r>
              <w:rPr>
                <w:b w:val="false"/>
                <w:bCs w:val="false"/>
                <w:sz w:val="17"/>
                <w:szCs w:val="17"/>
              </w:rPr>
              <w:t xml:space="preserve">Environment Agency</w:t>
            </w:r>
          </w:p>
        </w:tc>
      </w:tr>
      <w:tr>
        <w:tc>
          <w:tcPr>
            <w:tcW w:type="dxa" w:w="2500"/>
            <w:tcMar>
              <w:top w:type="dxa" w:w="50"/>
              <w:left w:type="dxa" w:w="80"/>
              <w:bottom w:type="dxa" w:w="50"/>
              <w:right w:type="dxa" w:w="80"/>
            </w:tcMar>
          </w:tcPr>
          <w:p>
            <w:r>
              <w:rPr>
                <w:b w:val="false"/>
                <w:bCs w:val="false"/>
                <w:sz w:val="17"/>
                <w:szCs w:val="17"/>
              </w:rPr>
              <w:t xml:space="preserve">SSSI / SAC / SPA / Ramsar</w:t>
            </w:r>
          </w:p>
        </w:tc>
        <w:tc>
          <w:tcPr>
            <w:tcW w:type="dxa" w:w="3500"/>
            <w:tcMar>
              <w:top w:type="dxa" w:w="50"/>
              <w:left w:type="dxa" w:w="80"/>
              <w:bottom w:type="dxa" w:w="50"/>
              <w:right w:type="dxa" w:w="80"/>
            </w:tcMar>
          </w:tcPr>
          <w:p>
            <w:r>
              <w:rPr>
                <w:b w:val="false"/>
                <w:bCs w:val="false"/>
                <w:sz w:val="17"/>
                <w:szCs w:val="17"/>
              </w:rPr>
              <w:t xml:space="preserve">Protected wildlife sites</w:t>
            </w:r>
          </w:p>
        </w:tc>
        <w:tc>
          <w:tcPr>
            <w:tcW w:type="dxa" w:w="1500"/>
            <w:tcMar>
              <w:top w:type="dxa" w:w="50"/>
              <w:left w:type="dxa" w:w="80"/>
              <w:bottom w:type="dxa" w:w="50"/>
              <w:right w:type="dxa" w:w="80"/>
            </w:tcMar>
          </w:tcPr>
          <w:p>
            <w:r>
              <w:rPr>
                <w:b w:val="false"/>
                <w:bCs w:val="false"/>
                <w:sz w:val="17"/>
                <w:szCs w:val="17"/>
              </w:rPr>
              <w:t xml:space="preserve">2,943 sites</w:t>
            </w:r>
          </w:p>
        </w:tc>
        <w:tc>
          <w:tcPr>
            <w:tcW w:type="dxa" w:w="1800"/>
            <w:tcMar>
              <w:top w:type="dxa" w:w="50"/>
              <w:left w:type="dxa" w:w="80"/>
              <w:bottom w:type="dxa" w:w="50"/>
              <w:right w:type="dxa" w:w="80"/>
            </w:tcMar>
          </w:tcPr>
          <w:p>
            <w:r>
              <w:rPr>
                <w:b w:val="false"/>
                <w:bCs w:val="false"/>
                <w:sz w:val="17"/>
                <w:szCs w:val="17"/>
              </w:rPr>
              <w:t xml:space="preserve">Natural England</w:t>
            </w:r>
          </w:p>
        </w:tc>
      </w:tr>
      <w:tr>
        <w:tc>
          <w:tcPr>
            <w:tcW w:type="dxa" w:w="2500"/>
            <w:tcMar>
              <w:top w:type="dxa" w:w="50"/>
              <w:left w:type="dxa" w:w="80"/>
              <w:bottom w:type="dxa" w:w="50"/>
              <w:right w:type="dxa" w:w="80"/>
            </w:tcMar>
          </w:tcPr>
          <w:p>
            <w:r>
              <w:rPr>
                <w:b w:val="false"/>
                <w:bCs w:val="false"/>
                <w:sz w:val="17"/>
                <w:szCs w:val="17"/>
              </w:rPr>
              <w:t xml:space="preserve">CaBA Chalk Streams</w:t>
            </w:r>
          </w:p>
        </w:tc>
        <w:tc>
          <w:tcPr>
            <w:tcW w:type="dxa" w:w="3500"/>
            <w:tcMar>
              <w:top w:type="dxa" w:w="50"/>
              <w:left w:type="dxa" w:w="80"/>
              <w:bottom w:type="dxa" w:w="50"/>
              <w:right w:type="dxa" w:w="80"/>
            </w:tcMar>
          </w:tcPr>
          <w:p>
            <w:r>
              <w:rPr>
                <w:b w:val="false"/>
                <w:bCs w:val="false"/>
                <w:sz w:val="17"/>
                <w:szCs w:val="17"/>
              </w:rPr>
              <w:t xml:space="preserve">Designated chalk stream reaches</w:t>
            </w:r>
          </w:p>
        </w:tc>
        <w:tc>
          <w:tcPr>
            <w:tcW w:type="dxa" w:w="1500"/>
            <w:tcMar>
              <w:top w:type="dxa" w:w="50"/>
              <w:left w:type="dxa" w:w="80"/>
              <w:bottom w:type="dxa" w:w="50"/>
              <w:right w:type="dxa" w:w="80"/>
            </w:tcMar>
          </w:tcPr>
          <w:p>
            <w:r>
              <w:rPr>
                <w:b w:val="false"/>
                <w:bCs w:val="false"/>
                <w:sz w:val="17"/>
                <w:szCs w:val="17"/>
              </w:rPr>
              <w:t xml:space="preserve">6,372 reaches</w:t>
            </w:r>
          </w:p>
        </w:tc>
        <w:tc>
          <w:tcPr>
            <w:tcW w:type="dxa" w:w="1800"/>
            <w:tcMar>
              <w:top w:type="dxa" w:w="50"/>
              <w:left w:type="dxa" w:w="80"/>
              <w:bottom w:type="dxa" w:w="50"/>
              <w:right w:type="dxa" w:w="80"/>
            </w:tcMar>
          </w:tcPr>
          <w:p>
            <w:r>
              <w:rPr>
                <w:b w:val="false"/>
                <w:bCs w:val="false"/>
                <w:sz w:val="17"/>
                <w:szCs w:val="17"/>
              </w:rPr>
              <w:t xml:space="preserve">The Rivers Trust</w:t>
            </w:r>
          </w:p>
        </w:tc>
      </w:tr>
    </w:tbl>
    <w:p>
      <w:pPr>
        <w:spacing w:after="115"/>
      </w:pPr>
    </w:p>
    <w:p>
      <w:pPr>
        <w:pStyle w:val="Heading1"/>
        <w:spacing w:after="115" w:before="250"/>
      </w:pPr>
      <w:r>
        <w:t xml:space="preserve">2. Turning flow records into a 'divertible volume'</w:t>
      </w:r>
    </w:p>
    <w:p>
      <w:pPr>
        <w:spacing w:after="115"/>
      </w:pPr>
      <w:r>
        <w:rPr>
          <w:sz w:val="20"/>
          <w:szCs w:val="20"/>
        </w:rPr>
        <w:t xml:space="preserve">This step produces the headline number, so it deserves the most scrutiny.</w:t>
      </w:r>
    </w:p>
    <w:p>
      <w:pPr>
        <w:spacing w:after="115"/>
      </w:pPr>
      <w:r>
        <w:rPr>
          <w:b/>
          <w:bCs/>
          <w:sz w:val="20"/>
          <w:szCs w:val="20"/>
        </w:rPr>
        <w:t xml:space="preserve">The idea. </w:t>
      </w:r>
      <w:r>
        <w:rPr>
          <w:sz w:val="20"/>
          <w:szCs w:val="20"/>
        </w:rPr>
        <w:t xml:space="preserve">You cannot take water from a river whenever you like. An abstraction licence typically says: don't start pumping until the river runs high, and never draw it below a floor. We applied that shape of rule to every gauge. The trigger is the flow the river exceeds 12.5% of the time - a high flow, below which pumps stay off. The hands-off level is the flow it exceeds 19% of the time, and the river is never drawn below it. On a day above the trigger, the divertible volume is whatever sits between the two, multiplied by the seconds in a day.</w:t>
      </w:r>
    </w:p>
    <w:p>
      <w:pPr>
        <w:spacing w:after="115"/>
      </w:pPr>
      <w:r>
        <w:rPr>
          <w:sz w:val="20"/>
          <w:szCs w:val="20"/>
        </w:rPr>
        <w:t xml:space="preserve">Both thresholds come from each station's own record, so a small Sussex stream is judged against its own behaviour rather than a regional average. Totals run over water years (October to September) so a winter is never split across two annual figures, and a year counts only if at least 95% complete.</w:t>
      </w:r>
    </w:p>
    <w:p>
      <w:pPr>
        <w:spacing w:after="90" w:before="170"/>
      </w:pPr>
      <w:r>
        <w:rPr>
          <w:b/>
          <w:bCs/>
          <w:color w:val="31708F"/>
          <w:sz w:val="21"/>
          <w:szCs w:val="21"/>
        </w:rPr>
        <w:t xml:space="preserve">How reliable is it?</w:t>
      </w:r>
    </w:p>
    <w:p>
      <w:pPr>
        <w:spacing w:after="115"/>
      </w:pPr>
      <w:r>
        <w:rPr>
          <w:sz w:val="20"/>
          <w:szCs w:val="20"/>
        </w:rPr>
        <w:t xml:space="preserve">Three checks, done rather than assumed. The Thames at Kingston was recalculated from the raw data by separate code sharing nothing with the main pipeline: 431.48 Mm3/yr both ways. The arithmetic reproduces its own definition - days when diversion is allowed should be exactly 12.5% of the record, and across 370 stations the measured figure is 12.43%. And the 'winter surplus' claim was tested rather than asserted: the rule contains no season, so nothing forced the answer, yet 92% of divertible volume falls between October and March, and no candidate falls below 88%.</w:t>
      </w:r>
    </w:p>
    <w:p>
      <w:pPr>
        <w:spacing w:after="90" w:before="170"/>
      </w:pPr>
      <w:r>
        <w:rPr>
          <w:b/>
          <w:bCs/>
          <w:color w:val="31708F"/>
          <w:sz w:val="21"/>
          <w:szCs w:val="21"/>
        </w:rPr>
        <w:t xml:space="preserve">A real problem we found, and fixed</w:t>
      </w:r>
    </w:p>
    <w:p>
      <w:pPr>
        <w:spacing w:after="115"/>
      </w:pPr>
      <w:r>
        <w:rPr>
          <w:sz w:val="20"/>
          <w:szCs w:val="20"/>
        </w:rPr>
        <w:t xml:space="preserve">The Environment Agency publishes three daily flow series per station - mean, minimum and maximum - and the field identifying which is which is missing from the API's search results. Our first run silently pulled the daily minimum for 123 stations and the maximum for 134; only 117 of 374 were correct. The statistic turned out to be recoverable from the series identifier, so it was fixed and everything re-fetched. Anyone reusing that API is exposed to the same trap, and it would not announce itself.</w:t>
      </w:r>
    </w:p>
    <w:p>
      <w:pPr>
        <w:spacing w:after="90" w:before="170"/>
      </w:pPr>
      <w:r>
        <w:rPr>
          <w:b/>
          <w:bCs/>
          <w:color w:val="31708F"/>
          <w:sz w:val="21"/>
          <w:szCs w:val="21"/>
        </w:rPr>
        <w:t xml:space="preserve">How this step could be improved</w:t>
      </w:r>
    </w:p>
    <w:p>
      <w:pPr>
        <w:spacing w:after="115"/>
      </w:pPr>
      <w:r>
        <w:rPr>
          <w:sz w:val="20"/>
          <w:szCs w:val="20"/>
        </w:rPr>
        <w:t xml:space="preserve">A drought sensitivity would help most: a ten-year mean hides how far the resource falls in a dry year, which is exactly when stored water is wanted. The two thresholds are inherited from the Somerset work and undefended in this region - they deserve testing. And many stations reach back to the 1960s, which would let variability be separated from trend.</w:t>
      </w:r>
    </w:p>
    <w:p>
      <w:pPr>
        <w:pStyle w:val="Heading1"/>
        <w:spacing w:after="115" w:before="250"/>
      </w:pPr>
      <w:r>
        <w:t xml:space="preserve">3. What was actually analysed</w:t>
      </w:r>
    </w:p>
    <w:p>
      <w:pPr>
        <w:spacing w:after="115"/>
      </w:pPr>
      <w:r>
        <w:rPr>
          <w:sz w:val="20"/>
          <w:szCs w:val="20"/>
        </w:rPr>
        <w:t xml:space="preserve">Every gauge follows the same sequence. Nothing is weighted and nothing is combined into a single score:</w:t>
      </w:r>
    </w:p>
    <w:p>
      <w:pPr>
        <w:pBdr>
          <w:left w:val="single" w:color="1F4E79" w:sz="12" w:space="12"/>
        </w:pBdr>
        <w:spacing w:after="140" w:before="60"/>
        <w:ind w:left="340"/>
      </w:pPr>
      <w:r>
        <w:rPr>
          <w:i/>
          <w:iCs/>
          <w:sz w:val="19"/>
          <w:szCs w:val="19"/>
        </w:rPr>
        <w:t xml:space="preserve">374 flow gauges  →  370 with a usable daily-mean record  →  83 clearing 20 Mm3/yr  →  73 also within 15 km of a suitable aquifer  →  collapse to 28 independent river systems  →  ranked by aquifer tier first, volume second.</w:t>
      </w:r>
    </w:p>
    <w:p>
      <w:pPr>
        <w:spacing w:after="115"/>
      </w:pPr>
      <w:r>
        <w:rPr>
          <w:b/>
          <w:bCs/>
          <w:sz w:val="20"/>
          <w:szCs w:val="20"/>
        </w:rPr>
        <w:t xml:space="preserve">The aquifer test has two tiers, </w:t>
      </w:r>
      <w:r>
        <w:rPr>
          <w:sz w:val="20"/>
          <w:szCs w:val="20"/>
        </w:rPr>
        <w:t xml:space="preserve">printed in the output rather than hidden inside a score. Tier 1 is intergranular rock - water moves through the pore spaces between grains, like a sponge, so storage behaves predictably. Here that means Lower Greensand and Triassic sandstone, 1,500 km2 in the study area. Tier 2 is the Chalk, where water moves through cracks: less predictable, but this is the aquifer Britain has actually stored water in, and the North London scheme uses confined Chalk. Tier 1 outranks tier 2 at equal volume.</w:t>
      </w:r>
    </w:p>
    <w:p>
      <w:pPr>
        <w:spacing w:after="115"/>
      </w:pPr>
      <w:r>
        <w:rPr>
          <w:b/>
          <w:bCs/>
          <w:sz w:val="20"/>
          <w:szCs w:val="20"/>
        </w:rPr>
        <w:t xml:space="preserve">One exclusion by judgement. </w:t>
      </w:r>
      <w:r>
        <w:rPr>
          <w:sz w:val="20"/>
          <w:szCs w:val="20"/>
        </w:rPr>
        <w:t xml:space="preserve">The Jurassic oolitic limestones pass the tier-2 test on the official classification and were excluded anyway, because our own Somerset boreholes show them behaving differently: the water table at Mells rises and falls 2.37 m a year, against 6.5 to 13.4 m in three Chalk boreholes. They are still drawn on the map, hatched and labelled as excluded, so the judgement can be challenged rather than disappearing into a filter.</w:t>
      </w:r>
    </w:p>
    <w:p>
      <w:pPr>
        <w:spacing w:after="115"/>
      </w:pPr>
      <w:r>
        <w:rPr>
          <w:b/>
          <w:bCs/>
          <w:sz w:val="20"/>
          <w:szCs w:val="20"/>
        </w:rPr>
        <w:t xml:space="preserve">Nesting - the most important step. </w:t>
      </w:r>
      <w:r>
        <w:rPr>
          <w:sz w:val="20"/>
          <w:szCs w:val="20"/>
        </w:rPr>
        <w:t xml:space="preserve">Flow at one gauge already includes everything upstream of it. Kingston measures the same water as Reading and Windsor, and also the Mole and the Wey, which join the Thames under their own names - so grouping by river name would miss every tributary. Instead the Ordnance Survey river network itself was traced: each link knows its start point, end point and flow direction, which establishes exactly which gauge lies downstream of which. The effect is large. Adding all 73 candidates gives 5,446 Mm3/yr; the 28 genuine systems total 1,943. Nearly two thirds of the naive figure is the same water counted repeatedly.</w:t>
      </w:r>
    </w:p>
    <w:p>
      <w:pPr>
        <w:spacing w:after="115"/>
      </w:pPr>
      <w:r>
        <w:rPr>
          <w:b/>
          <w:bCs/>
          <w:sz w:val="20"/>
          <w:szCs w:val="20"/>
        </w:rPr>
        <w:t xml:space="preserve">Three things are reported but never scored: </w:t>
      </w:r>
      <w:r>
        <w:rPr>
          <w:sz w:val="20"/>
          <w:szCs w:val="20"/>
        </w:rPr>
        <w:t xml:space="preserve">groundwater body status, all constraint layers, and borehole evidence. They change how a row reads, not where it sits. Scoring them would mean asserting regulatory and geological judgements this screen has no basis to make.</w:t>
      </w:r>
    </w:p>
    <w:p>
      <w:pPr>
        <w:pStyle w:val="Heading1"/>
        <w:spacing w:after="115" w:before="250"/>
      </w:pPr>
      <w:r>
        <w:t xml:space="preserve">4. The map, and how to read it</w:t>
      </w:r>
    </w:p>
    <w:p>
      <w:pPr>
        <w:jc w:val="center"/>
      </w:pPr>
      <w:r>
        <w:drawing>
          <wp:inline distT="0" distB="0" distL="0" distR="0">
            <wp:extent cx="6096000" cy="3390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6096000" cy="3390900"/>
                    </a:xfrm>
                    <a:prstGeom prst="rect">
                      <a:avLst/>
                    </a:prstGeom>
                  </pic:spPr>
                </pic:pic>
              </a:graphicData>
            </a:graphic>
          </wp:inline>
        </w:drawing>
      </w:r>
    </w:p>
    <w:p>
      <w:pPr>
        <w:spacing w:after="170"/>
        <w:jc w:val="center"/>
      </w:pPr>
      <w:r>
        <w:rPr>
          <w:i/>
          <w:iCs/>
          <w:sz w:val="17"/>
          <w:szCs w:val="17"/>
        </w:rPr>
        <w:t xml:space="preserve">Figure 1. The screen. Full-resolution version supplied separately - the detail rewards zooming.</w:t>
      </w:r>
    </w:p>
    <w:p>
      <w:pPr>
        <w:pStyle w:val="ListParagraph"/>
        <w:numPr>
          <w:ilvl w:val="0"/>
          <w:numId w:val="2"/>
        </w:numPr>
        <w:spacing w:after="75"/>
      </w:pPr>
      <w:r>
        <w:rPr>
          <w:b/>
          <w:bCs/>
          <w:sz w:val="20"/>
          <w:szCs w:val="20"/>
        </w:rPr>
        <w:t xml:space="preserve">Blue and pink areas </w:t>
      </w:r>
      <w:r>
        <w:rPr>
          <w:sz w:val="20"/>
          <w:szCs w:val="20"/>
        </w:rPr>
        <w:t xml:space="preserve">are the two aquifer tiers - blue intergranular, pink Chalk. Diagonal hatching is the excluded oolitic limestone. Dotted shading marks groundwater bodies already in poor health.</w:t>
      </w:r>
    </w:p>
    <w:p>
      <w:pPr>
        <w:pStyle w:val="ListParagraph"/>
        <w:numPr>
          <w:ilvl w:val="0"/>
          <w:numId w:val="2"/>
        </w:numPr>
        <w:spacing w:after="75"/>
      </w:pPr>
      <w:r>
        <w:rPr>
          <w:b/>
          <w:bCs/>
          <w:sz w:val="20"/>
          <w:szCs w:val="20"/>
        </w:rPr>
        <w:t xml:space="preserve">Stars are candidate river systems. </w:t>
      </w:r>
      <w:r>
        <w:rPr>
          <w:sz w:val="20"/>
          <w:szCs w:val="20"/>
        </w:rPr>
        <w:t xml:space="preserve">Colour is the tier; area is proportional to divertible volume, so twice the area means twice the water. Only the largest are labelled, to keep the map legible.</w:t>
      </w:r>
    </w:p>
    <w:p>
      <w:pPr>
        <w:pStyle w:val="ListParagraph"/>
        <w:numPr>
          <w:ilvl w:val="0"/>
          <w:numId w:val="2"/>
        </w:numPr>
        <w:spacing w:after="75"/>
      </w:pPr>
      <w:r>
        <w:rPr>
          <w:b/>
          <w:bCs/>
          <w:sz w:val="20"/>
          <w:szCs w:val="20"/>
        </w:rPr>
        <w:t xml:space="preserve">Small open circles </w:t>
      </w:r>
      <w:r>
        <w:rPr>
          <w:sz w:val="20"/>
          <w:szCs w:val="20"/>
        </w:rPr>
        <w:t xml:space="preserve">are candidates upstream of a star and already counted inside it. Grey dots are the other 297 gauges, which did not qualify.</w:t>
      </w:r>
    </w:p>
    <w:p>
      <w:pPr>
        <w:pStyle w:val="ListParagraph"/>
        <w:numPr>
          <w:ilvl w:val="0"/>
          <w:numId w:val="2"/>
        </w:numPr>
        <w:spacing w:after="75"/>
      </w:pPr>
      <w:r>
        <w:rPr>
          <w:b/>
          <w:bCs/>
          <w:sz w:val="20"/>
          <w:szCs w:val="20"/>
        </w:rPr>
        <w:t xml:space="preserve">A black ring </w:t>
      </w:r>
      <w:r>
        <w:rPr>
          <w:sz w:val="20"/>
          <w:szCs w:val="20"/>
        </w:rPr>
        <w:t xml:space="preserve">means that candidate stands inside a Source Protection Zone or a designated wildlife site.</w:t>
      </w:r>
    </w:p>
    <w:p>
      <w:pPr>
        <w:pStyle w:val="ListParagraph"/>
        <w:numPr>
          <w:ilvl w:val="0"/>
          <w:numId w:val="2"/>
        </w:numPr>
        <w:spacing w:after="75"/>
      </w:pPr>
      <w:r>
        <w:rPr>
          <w:b/>
          <w:bCs/>
          <w:sz w:val="20"/>
          <w:szCs w:val="20"/>
        </w:rPr>
        <w:t xml:space="preserve">Dark blue lines </w:t>
      </w:r>
      <w:r>
        <w:rPr>
          <w:sz w:val="20"/>
          <w:szCs w:val="20"/>
        </w:rPr>
        <w:t xml:space="preserve">are designated chalk streams; pale blue is the ordinary river network.</w:t>
      </w:r>
    </w:p>
    <w:p>
      <w:pPr>
        <w:spacing w:after="115"/>
      </w:pPr>
      <w:r>
        <w:rPr>
          <w:b/>
          <w:bCs/>
          <w:sz w:val="20"/>
          <w:szCs w:val="20"/>
        </w:rPr>
        <w:t xml:space="preserve">What the map does not say. </w:t>
      </w:r>
      <w:r>
        <w:rPr>
          <w:sz w:val="20"/>
          <w:szCs w:val="20"/>
        </w:rPr>
        <w:t xml:space="preserve">Nothing about how much water an aquifer could hold, whether it is covered and able to retain water, or whether anyone would be permitted to do any of this. Blank areas are not 'no opportunity' - they are places with no gauge, or a gauge that missed a threshold.</w:t>
      </w:r>
    </w:p>
    <w:p>
      <w:pPr>
        <w:pStyle w:val="Heading1"/>
        <w:spacing w:after="115" w:before="250"/>
      </w:pPr>
      <w:r>
        <w:t xml:space="preserve">5. Findings, and what the numbers mean</w:t>
      </w:r>
    </w:p>
    <w:p>
      <w:pPr>
        <w:spacing w:after="115"/>
      </w:pPr>
      <w:r>
        <w:rPr>
          <w:sz w:val="20"/>
          <w:szCs w:val="20"/>
        </w:rPr>
        <w:t xml:space="preserve">Top of each tier; the full 28-row table is in the accompanying technical report.</w:t>
      </w:r>
    </w:p>
    <w:tbl>
      <w:tblPr>
        <w:tblW w:type="dxa" w:w="10150"/>
        <w:tblBorders>
          <w:top w:val="single" w:color="auto" w:sz="4"/>
          <w:left w:val="single" w:color="auto" w:sz="4"/>
          <w:bottom w:val="single" w:color="auto" w:sz="4"/>
          <w:right w:val="single" w:color="auto" w:sz="4"/>
          <w:insideH w:val="single" w:color="auto" w:sz="4"/>
          <w:insideV w:val="single" w:color="auto" w:sz="4"/>
        </w:tblBorders>
      </w:tblPr>
      <w:tblGrid>
        <w:gridCol w:w="700"/>
        <w:gridCol w:w="2100"/>
        <w:gridCol w:w="2000"/>
        <w:gridCol w:w="1150"/>
        <w:gridCol w:w="1000"/>
        <w:gridCol w:w="1300"/>
        <w:gridCol w:w="1900"/>
      </w:tblGrid>
      <w:tr>
        <w:tc>
          <w:tcPr>
            <w:tcW w:type="dxa" w:w="700"/>
            <w:shd w:fill="DCE6F1" w:val="clear"/>
            <w:tcMar>
              <w:top w:type="dxa" w:w="50"/>
              <w:left w:type="dxa" w:w="80"/>
              <w:bottom w:type="dxa" w:w="50"/>
              <w:right w:type="dxa" w:w="80"/>
            </w:tcMar>
          </w:tcPr>
          <w:p>
            <w:r>
              <w:rPr>
                <w:b/>
                <w:bCs/>
                <w:sz w:val="17"/>
                <w:szCs w:val="17"/>
              </w:rPr>
              <w:t xml:space="preserve">tier</w:t>
            </w:r>
          </w:p>
        </w:tc>
        <w:tc>
          <w:tcPr>
            <w:tcW w:type="dxa" w:w="2100"/>
            <w:shd w:fill="DCE6F1" w:val="clear"/>
            <w:tcMar>
              <w:top w:type="dxa" w:w="50"/>
              <w:left w:type="dxa" w:w="80"/>
              <w:bottom w:type="dxa" w:w="50"/>
              <w:right w:type="dxa" w:w="80"/>
            </w:tcMar>
          </w:tcPr>
          <w:p>
            <w:r>
              <w:rPr>
                <w:b/>
                <w:bCs/>
                <w:sz w:val="17"/>
                <w:szCs w:val="17"/>
              </w:rPr>
              <w:t xml:space="preserve">system</w:t>
            </w:r>
          </w:p>
        </w:tc>
        <w:tc>
          <w:tcPr>
            <w:tcW w:type="dxa" w:w="2000"/>
            <w:shd w:fill="DCE6F1" w:val="clear"/>
            <w:tcMar>
              <w:top w:type="dxa" w:w="50"/>
              <w:left w:type="dxa" w:w="80"/>
              <w:bottom w:type="dxa" w:w="50"/>
              <w:right w:type="dxa" w:w="80"/>
            </w:tcMar>
          </w:tcPr>
          <w:p>
            <w:r>
              <w:rPr>
                <w:b/>
                <w:bCs/>
                <w:sz w:val="17"/>
                <w:szCs w:val="17"/>
              </w:rPr>
              <w:t xml:space="preserve">river</w:t>
            </w:r>
          </w:p>
        </w:tc>
        <w:tc>
          <w:tcPr>
            <w:tcW w:type="dxa" w:w="1150"/>
            <w:shd w:fill="DCE6F1" w:val="clear"/>
            <w:tcMar>
              <w:top w:type="dxa" w:w="50"/>
              <w:left w:type="dxa" w:w="80"/>
              <w:bottom w:type="dxa" w:w="50"/>
              <w:right w:type="dxa" w:w="80"/>
            </w:tcMar>
          </w:tcPr>
          <w:p>
            <w:r>
              <w:rPr>
                <w:b/>
                <w:bCs/>
                <w:sz w:val="17"/>
                <w:szCs w:val="17"/>
              </w:rPr>
              <w:t xml:space="preserve">Mm3/yr</w:t>
            </w:r>
          </w:p>
        </w:tc>
        <w:tc>
          <w:tcPr>
            <w:tcW w:type="dxa" w:w="1000"/>
            <w:shd w:fill="DCE6F1" w:val="clear"/>
            <w:tcMar>
              <w:top w:type="dxa" w:w="50"/>
              <w:left w:type="dxa" w:w="80"/>
              <w:bottom w:type="dxa" w:w="50"/>
              <w:right w:type="dxa" w:w="80"/>
            </w:tcMar>
          </w:tcPr>
          <w:p>
            <w:r>
              <w:rPr>
                <w:b/>
                <w:bCs/>
                <w:sz w:val="17"/>
                <w:szCs w:val="17"/>
              </w:rPr>
              <w:t xml:space="preserve">subsumes</w:t>
            </w:r>
          </w:p>
        </w:tc>
        <w:tc>
          <w:tcPr>
            <w:tcW w:type="dxa" w:w="1300"/>
            <w:shd w:fill="DCE6F1" w:val="clear"/>
            <w:tcMar>
              <w:top w:type="dxa" w:w="50"/>
              <w:left w:type="dxa" w:w="80"/>
              <w:bottom w:type="dxa" w:w="50"/>
              <w:right w:type="dxa" w:w="80"/>
            </w:tcMar>
          </w:tcPr>
          <w:p>
            <w:r>
              <w:rPr>
                <w:b/>
                <w:bCs/>
                <w:sz w:val="17"/>
                <w:szCs w:val="17"/>
              </w:rPr>
              <w:t xml:space="preserve">WFD status</w:t>
            </w:r>
          </w:p>
        </w:tc>
        <w:tc>
          <w:tcPr>
            <w:tcW w:type="dxa" w:w="1900"/>
            <w:shd w:fill="DCE6F1" w:val="clear"/>
            <w:tcMar>
              <w:top w:type="dxa" w:w="50"/>
              <w:left w:type="dxa" w:w="80"/>
              <w:bottom w:type="dxa" w:w="50"/>
              <w:right w:type="dxa" w:w="80"/>
            </w:tcMar>
          </w:tcPr>
          <w:p>
            <w:r>
              <w:rPr>
                <w:b/>
                <w:bCs/>
                <w:sz w:val="17"/>
                <w:szCs w:val="17"/>
              </w:rPr>
              <w:t xml:space="preserve">constraint</w:t>
            </w:r>
          </w:p>
        </w:tc>
      </w:tr>
      <w:tr>
        <w:tc>
          <w:tcPr>
            <w:tcW w:type="dxa" w:w="700"/>
            <w:tcMar>
              <w:top w:type="dxa" w:w="50"/>
              <w:left w:type="dxa" w:w="80"/>
              <w:bottom w:type="dxa" w:w="50"/>
              <w:right w:type="dxa" w:w="80"/>
            </w:tcMar>
          </w:tcPr>
          <w:p>
            <w:r>
              <w:rPr>
                <w:b w:val="false"/>
                <w:bCs w:val="false"/>
                <w:sz w:val="17"/>
                <w:szCs w:val="17"/>
              </w:rPr>
              <w:t xml:space="preserve">1</w:t>
            </w:r>
          </w:p>
        </w:tc>
        <w:tc>
          <w:tcPr>
            <w:tcW w:type="dxa" w:w="2100"/>
            <w:tcMar>
              <w:top w:type="dxa" w:w="50"/>
              <w:left w:type="dxa" w:w="80"/>
              <w:bottom w:type="dxa" w:w="50"/>
              <w:right w:type="dxa" w:w="80"/>
            </w:tcMar>
          </w:tcPr>
          <w:p>
            <w:r>
              <w:rPr>
                <w:b w:val="false"/>
                <w:bCs w:val="false"/>
                <w:sz w:val="17"/>
                <w:szCs w:val="17"/>
              </w:rPr>
              <w:t xml:space="preserve">Trews Weir</w:t>
            </w:r>
          </w:p>
        </w:tc>
        <w:tc>
          <w:tcPr>
            <w:tcW w:type="dxa" w:w="2000"/>
            <w:tcMar>
              <w:top w:type="dxa" w:w="50"/>
              <w:left w:type="dxa" w:w="80"/>
              <w:bottom w:type="dxa" w:w="50"/>
              <w:right w:type="dxa" w:w="80"/>
            </w:tcMar>
          </w:tcPr>
          <w:p>
            <w:r>
              <w:rPr>
                <w:b w:val="false"/>
                <w:bCs w:val="false"/>
                <w:sz w:val="17"/>
                <w:szCs w:val="17"/>
              </w:rPr>
              <w:t xml:space="preserve">Exe</w:t>
            </w:r>
          </w:p>
        </w:tc>
        <w:tc>
          <w:tcPr>
            <w:tcW w:type="dxa" w:w="1150"/>
            <w:tcMar>
              <w:top w:type="dxa" w:w="50"/>
              <w:left w:type="dxa" w:w="80"/>
              <w:bottom w:type="dxa" w:w="50"/>
              <w:right w:type="dxa" w:w="80"/>
            </w:tcMar>
          </w:tcPr>
          <w:p>
            <w:r>
              <w:rPr>
                <w:b w:val="false"/>
                <w:bCs w:val="false"/>
                <w:sz w:val="17"/>
                <w:szCs w:val="17"/>
              </w:rPr>
              <w:t xml:space="preserve">194.8</w:t>
            </w:r>
          </w:p>
        </w:tc>
        <w:tc>
          <w:tcPr>
            <w:tcW w:type="dxa" w:w="1000"/>
            <w:tcMar>
              <w:top w:type="dxa" w:w="50"/>
              <w:left w:type="dxa" w:w="80"/>
              <w:bottom w:type="dxa" w:w="50"/>
              <w:right w:type="dxa" w:w="80"/>
            </w:tcMar>
          </w:tcPr>
          <w:p>
            <w:r>
              <w:rPr>
                <w:b w:val="false"/>
                <w:bCs w:val="false"/>
                <w:sz w:val="17"/>
                <w:szCs w:val="17"/>
              </w:rPr>
              <w:t xml:space="preserve">4</w:t>
            </w:r>
          </w:p>
        </w:tc>
        <w:tc>
          <w:tcPr>
            <w:tcW w:type="dxa" w:w="1300"/>
            <w:tcMar>
              <w:top w:type="dxa" w:w="50"/>
              <w:left w:type="dxa" w:w="80"/>
              <w:bottom w:type="dxa" w:w="50"/>
              <w:right w:type="dxa" w:w="80"/>
            </w:tcMar>
          </w:tcPr>
          <w:p>
            <w:r>
              <w:rPr>
                <w:b w:val="false"/>
                <w:bCs w:val="false"/>
                <w:sz w:val="17"/>
                <w:szCs w:val="17"/>
              </w:rPr>
              <w:t xml:space="preserve">Good</w:t>
            </w:r>
          </w:p>
        </w:tc>
        <w:tc>
          <w:tcPr>
            <w:tcW w:type="dxa" w:w="1900"/>
            <w:tcMar>
              <w:top w:type="dxa" w:w="50"/>
              <w:left w:type="dxa" w:w="80"/>
              <w:bottom w:type="dxa" w:w="50"/>
              <w:right w:type="dxa" w:w="80"/>
            </w:tcMar>
          </w:tcPr>
          <w:p>
            <w:r>
              <w:rPr>
                <w:b w:val="false"/>
                <w:bCs w:val="false"/>
                <w:sz w:val="17"/>
                <w:szCs w:val="17"/>
              </w:rPr>
              <w:t xml:space="preserve">none of the five</w:t>
            </w:r>
          </w:p>
        </w:tc>
      </w:tr>
      <w:tr>
        <w:tc>
          <w:tcPr>
            <w:tcW w:type="dxa" w:w="700"/>
            <w:tcMar>
              <w:top w:type="dxa" w:w="50"/>
              <w:left w:type="dxa" w:w="80"/>
              <w:bottom w:type="dxa" w:w="50"/>
              <w:right w:type="dxa" w:w="80"/>
            </w:tcMar>
          </w:tcPr>
          <w:p>
            <w:r>
              <w:rPr>
                <w:b w:val="false"/>
                <w:bCs w:val="false"/>
                <w:sz w:val="17"/>
                <w:szCs w:val="17"/>
              </w:rPr>
              <w:t xml:space="preserve">1</w:t>
            </w:r>
          </w:p>
        </w:tc>
        <w:tc>
          <w:tcPr>
            <w:tcW w:type="dxa" w:w="2100"/>
            <w:tcMar>
              <w:top w:type="dxa" w:w="50"/>
              <w:left w:type="dxa" w:w="80"/>
              <w:bottom w:type="dxa" w:w="50"/>
              <w:right w:type="dxa" w:w="80"/>
            </w:tcMar>
          </w:tcPr>
          <w:p>
            <w:r>
              <w:rPr>
                <w:b w:val="false"/>
                <w:bCs w:val="false"/>
                <w:sz w:val="17"/>
                <w:szCs w:val="17"/>
              </w:rPr>
              <w:t xml:space="preserve">Allington</w:t>
            </w:r>
          </w:p>
        </w:tc>
        <w:tc>
          <w:tcPr>
            <w:tcW w:type="dxa" w:w="2000"/>
            <w:tcMar>
              <w:top w:type="dxa" w:w="50"/>
              <w:left w:type="dxa" w:w="80"/>
              <w:bottom w:type="dxa" w:w="50"/>
              <w:right w:type="dxa" w:w="80"/>
            </w:tcMar>
          </w:tcPr>
          <w:p>
            <w:r>
              <w:rPr>
                <w:b w:val="false"/>
                <w:bCs w:val="false"/>
                <w:sz w:val="17"/>
                <w:szCs w:val="17"/>
              </w:rPr>
              <w:t xml:space="preserve">Medway</w:t>
            </w:r>
          </w:p>
        </w:tc>
        <w:tc>
          <w:tcPr>
            <w:tcW w:type="dxa" w:w="1150"/>
            <w:tcMar>
              <w:top w:type="dxa" w:w="50"/>
              <w:left w:type="dxa" w:w="80"/>
              <w:bottom w:type="dxa" w:w="50"/>
              <w:right w:type="dxa" w:w="80"/>
            </w:tcMar>
          </w:tcPr>
          <w:p>
            <w:r>
              <w:rPr>
                <w:b w:val="false"/>
                <w:bCs w:val="false"/>
                <w:sz w:val="17"/>
                <w:szCs w:val="17"/>
              </w:rPr>
              <w:t xml:space="preserve">141.5</w:t>
            </w:r>
          </w:p>
        </w:tc>
        <w:tc>
          <w:tcPr>
            <w:tcW w:type="dxa" w:w="1000"/>
            <w:tcMar>
              <w:top w:type="dxa" w:w="50"/>
              <w:left w:type="dxa" w:w="80"/>
              <w:bottom w:type="dxa" w:w="50"/>
              <w:right w:type="dxa" w:w="80"/>
            </w:tcMar>
          </w:tcPr>
          <w:p>
            <w:r>
              <w:rPr>
                <w:b w:val="false"/>
                <w:bCs w:val="false"/>
                <w:sz w:val="17"/>
                <w:szCs w:val="17"/>
              </w:rPr>
              <w:t xml:space="preserve">9</w:t>
            </w:r>
          </w:p>
        </w:tc>
        <w:tc>
          <w:tcPr>
            <w:tcW w:type="dxa" w:w="1300"/>
            <w:tcMar>
              <w:top w:type="dxa" w:w="50"/>
              <w:left w:type="dxa" w:w="80"/>
              <w:bottom w:type="dxa" w:w="50"/>
              <w:right w:type="dxa" w:w="80"/>
            </w:tcMar>
          </w:tcPr>
          <w:p>
            <w:r>
              <w:rPr>
                <w:b w:val="false"/>
                <w:bCs w:val="false"/>
                <w:sz w:val="17"/>
                <w:szCs w:val="17"/>
              </w:rPr>
              <w:t xml:space="preserve">Poor</w:t>
            </w:r>
          </w:p>
        </w:tc>
        <w:tc>
          <w:tcPr>
            <w:tcW w:type="dxa" w:w="1900"/>
            <w:tcMar>
              <w:top w:type="dxa" w:w="50"/>
              <w:left w:type="dxa" w:w="80"/>
              <w:bottom w:type="dxa" w:w="50"/>
              <w:right w:type="dxa" w:w="80"/>
            </w:tcMar>
          </w:tcPr>
          <w:p>
            <w:r>
              <w:rPr>
                <w:b w:val="false"/>
                <w:bCs w:val="false"/>
                <w:sz w:val="17"/>
                <w:szCs w:val="17"/>
              </w:rPr>
              <w:t xml:space="preserve">SPZ 0.5 km</w:t>
            </w:r>
          </w:p>
        </w:tc>
      </w:tr>
      <w:tr>
        <w:tc>
          <w:tcPr>
            <w:tcW w:type="dxa" w:w="700"/>
            <w:tcMar>
              <w:top w:type="dxa" w:w="50"/>
              <w:left w:type="dxa" w:w="80"/>
              <w:bottom w:type="dxa" w:w="50"/>
              <w:right w:type="dxa" w:w="80"/>
            </w:tcMar>
          </w:tcPr>
          <w:p>
            <w:r>
              <w:rPr>
                <w:b w:val="false"/>
                <w:bCs w:val="false"/>
                <w:sz w:val="17"/>
                <w:szCs w:val="17"/>
              </w:rPr>
              <w:t xml:space="preserve">1</w:t>
            </w:r>
          </w:p>
        </w:tc>
        <w:tc>
          <w:tcPr>
            <w:tcW w:type="dxa" w:w="2100"/>
            <w:tcMar>
              <w:top w:type="dxa" w:w="50"/>
              <w:left w:type="dxa" w:w="80"/>
              <w:bottom w:type="dxa" w:w="50"/>
              <w:right w:type="dxa" w:w="80"/>
            </w:tcMar>
          </w:tcPr>
          <w:p>
            <w:r>
              <w:rPr>
                <w:b w:val="false"/>
                <w:bCs w:val="false"/>
                <w:sz w:val="17"/>
                <w:szCs w:val="17"/>
              </w:rPr>
              <w:t xml:space="preserve">Bradford on Avon</w:t>
            </w:r>
          </w:p>
        </w:tc>
        <w:tc>
          <w:tcPr>
            <w:tcW w:type="dxa" w:w="2000"/>
            <w:tcMar>
              <w:top w:type="dxa" w:w="50"/>
              <w:left w:type="dxa" w:w="80"/>
              <w:bottom w:type="dxa" w:w="50"/>
              <w:right w:type="dxa" w:w="80"/>
            </w:tcMar>
          </w:tcPr>
          <w:p>
            <w:r>
              <w:rPr>
                <w:b w:val="false"/>
                <w:bCs w:val="false"/>
                <w:sz w:val="17"/>
                <w:szCs w:val="17"/>
              </w:rPr>
              <w:t xml:space="preserve">Bristol Avon</w:t>
            </w:r>
          </w:p>
        </w:tc>
        <w:tc>
          <w:tcPr>
            <w:tcW w:type="dxa" w:w="1150"/>
            <w:tcMar>
              <w:top w:type="dxa" w:w="50"/>
              <w:left w:type="dxa" w:w="80"/>
              <w:bottom w:type="dxa" w:w="50"/>
              <w:right w:type="dxa" w:w="80"/>
            </w:tcMar>
          </w:tcPr>
          <w:p>
            <w:r>
              <w:rPr>
                <w:b w:val="false"/>
                <w:bCs w:val="false"/>
                <w:sz w:val="17"/>
                <w:szCs w:val="17"/>
              </w:rPr>
              <w:t xml:space="preserve">112.2</w:t>
            </w:r>
          </w:p>
        </w:tc>
        <w:tc>
          <w:tcPr>
            <w:tcW w:type="dxa" w:w="1000"/>
            <w:tcMar>
              <w:top w:type="dxa" w:w="50"/>
              <w:left w:type="dxa" w:w="80"/>
              <w:bottom w:type="dxa" w:w="50"/>
              <w:right w:type="dxa" w:w="80"/>
            </w:tcMar>
          </w:tcPr>
          <w:p>
            <w:r>
              <w:rPr>
                <w:b w:val="false"/>
                <w:bCs w:val="false"/>
                <w:sz w:val="17"/>
                <w:szCs w:val="17"/>
              </w:rPr>
              <w:t xml:space="preserve">3</w:t>
            </w:r>
          </w:p>
        </w:tc>
        <w:tc>
          <w:tcPr>
            <w:tcW w:type="dxa" w:w="1300"/>
            <w:tcMar>
              <w:top w:type="dxa" w:w="50"/>
              <w:left w:type="dxa" w:w="80"/>
              <w:bottom w:type="dxa" w:w="50"/>
              <w:right w:type="dxa" w:w="80"/>
            </w:tcMar>
          </w:tcPr>
          <w:p>
            <w:r>
              <w:rPr>
                <w:b w:val="false"/>
                <w:bCs w:val="false"/>
                <w:sz w:val="17"/>
                <w:szCs w:val="17"/>
              </w:rPr>
              <w:t xml:space="preserve">Poor</w:t>
            </w:r>
          </w:p>
        </w:tc>
        <w:tc>
          <w:tcPr>
            <w:tcW w:type="dxa" w:w="1900"/>
            <w:tcMar>
              <w:top w:type="dxa" w:w="50"/>
              <w:left w:type="dxa" w:w="80"/>
              <w:bottom w:type="dxa" w:w="50"/>
              <w:right w:type="dxa" w:w="80"/>
            </w:tcMar>
          </w:tcPr>
          <w:p>
            <w:r>
              <w:rPr>
                <w:b w:val="false"/>
                <w:bCs w:val="false"/>
                <w:sz w:val="17"/>
                <w:szCs w:val="17"/>
              </w:rPr>
              <w:t xml:space="preserve">SSSI 0.5 km</w:t>
            </w:r>
          </w:p>
        </w:tc>
      </w:tr>
      <w:tr>
        <w:tc>
          <w:tcPr>
            <w:tcW w:type="dxa" w:w="700"/>
            <w:tcMar>
              <w:top w:type="dxa" w:w="50"/>
              <w:left w:type="dxa" w:w="80"/>
              <w:bottom w:type="dxa" w:w="50"/>
              <w:right w:type="dxa" w:w="80"/>
            </w:tcMar>
          </w:tcPr>
          <w:p>
            <w:r>
              <w:rPr>
                <w:b w:val="false"/>
                <w:bCs w:val="false"/>
                <w:sz w:val="17"/>
                <w:szCs w:val="17"/>
              </w:rPr>
              <w:t xml:space="preserve">1</w:t>
            </w:r>
          </w:p>
        </w:tc>
        <w:tc>
          <w:tcPr>
            <w:tcW w:type="dxa" w:w="2100"/>
            <w:tcMar>
              <w:top w:type="dxa" w:w="50"/>
              <w:left w:type="dxa" w:w="80"/>
              <w:bottom w:type="dxa" w:w="50"/>
              <w:right w:type="dxa" w:w="80"/>
            </w:tcMar>
          </w:tcPr>
          <w:p>
            <w:r>
              <w:rPr>
                <w:b w:val="false"/>
                <w:bCs w:val="false"/>
                <w:sz w:val="17"/>
                <w:szCs w:val="17"/>
              </w:rPr>
              <w:t xml:space="preserve">Pallingham</w:t>
            </w:r>
          </w:p>
        </w:tc>
        <w:tc>
          <w:tcPr>
            <w:tcW w:type="dxa" w:w="2000"/>
            <w:tcMar>
              <w:top w:type="dxa" w:w="50"/>
              <w:left w:type="dxa" w:w="80"/>
              <w:bottom w:type="dxa" w:w="50"/>
              <w:right w:type="dxa" w:w="80"/>
            </w:tcMar>
          </w:tcPr>
          <w:p>
            <w:r>
              <w:rPr>
                <w:b w:val="false"/>
                <w:bCs w:val="false"/>
                <w:sz w:val="17"/>
                <w:szCs w:val="17"/>
              </w:rPr>
              <w:t xml:space="preserve">Arun</w:t>
            </w:r>
          </w:p>
        </w:tc>
        <w:tc>
          <w:tcPr>
            <w:tcW w:type="dxa" w:w="1150"/>
            <w:tcMar>
              <w:top w:type="dxa" w:w="50"/>
              <w:left w:type="dxa" w:w="80"/>
              <w:bottom w:type="dxa" w:w="50"/>
              <w:right w:type="dxa" w:w="80"/>
            </w:tcMar>
          </w:tcPr>
          <w:p>
            <w:r>
              <w:rPr>
                <w:b w:val="false"/>
                <w:bCs w:val="false"/>
                <w:sz w:val="17"/>
                <w:szCs w:val="17"/>
              </w:rPr>
              <w:t xml:space="preserve">92.2</w:t>
            </w:r>
          </w:p>
        </w:tc>
        <w:tc>
          <w:tcPr>
            <w:tcW w:type="dxa" w:w="1000"/>
            <w:tcMar>
              <w:top w:type="dxa" w:w="50"/>
              <w:left w:type="dxa" w:w="80"/>
              <w:bottom w:type="dxa" w:w="50"/>
              <w:right w:type="dxa" w:w="80"/>
            </w:tcMar>
          </w:tcPr>
          <w:p>
            <w:r>
              <w:rPr>
                <w:b w:val="false"/>
                <w:bCs w:val="false"/>
                <w:sz w:val="17"/>
                <w:szCs w:val="17"/>
              </w:rPr>
              <w:t xml:space="preserve">2</w:t>
            </w:r>
          </w:p>
        </w:tc>
        <w:tc>
          <w:tcPr>
            <w:tcW w:type="dxa" w:w="1300"/>
            <w:tcMar>
              <w:top w:type="dxa" w:w="50"/>
              <w:left w:type="dxa" w:w="80"/>
              <w:bottom w:type="dxa" w:w="50"/>
              <w:right w:type="dxa" w:w="80"/>
            </w:tcMar>
          </w:tcPr>
          <w:p>
            <w:r>
              <w:rPr>
                <w:b w:val="false"/>
                <w:bCs w:val="false"/>
                <w:sz w:val="17"/>
                <w:szCs w:val="17"/>
              </w:rPr>
              <w:t xml:space="preserve">outside</w:t>
            </w:r>
          </w:p>
        </w:tc>
        <w:tc>
          <w:tcPr>
            <w:tcW w:type="dxa" w:w="1900"/>
            <w:tcMar>
              <w:top w:type="dxa" w:w="50"/>
              <w:left w:type="dxa" w:w="80"/>
              <w:bottom w:type="dxa" w:w="50"/>
              <w:right w:type="dxa" w:w="80"/>
            </w:tcMar>
          </w:tcPr>
          <w:p>
            <w:r>
              <w:rPr>
                <w:b w:val="false"/>
                <w:bCs w:val="false"/>
                <w:sz w:val="17"/>
                <w:szCs w:val="17"/>
              </w:rPr>
              <w:t xml:space="preserve">INSIDE SSSI</w:t>
            </w:r>
          </w:p>
        </w:tc>
      </w:tr>
      <w:tr>
        <w:tc>
          <w:tcPr>
            <w:tcW w:type="dxa" w:w="700"/>
            <w:tcMar>
              <w:top w:type="dxa" w:w="50"/>
              <w:left w:type="dxa" w:w="80"/>
              <w:bottom w:type="dxa" w:w="50"/>
              <w:right w:type="dxa" w:w="80"/>
            </w:tcMar>
          </w:tcPr>
          <w:p>
            <w:r>
              <w:rPr>
                <w:b w:val="false"/>
                <w:bCs w:val="false"/>
                <w:sz w:val="17"/>
                <w:szCs w:val="17"/>
              </w:rPr>
              <w:t xml:space="preserve">1</w:t>
            </w:r>
          </w:p>
        </w:tc>
        <w:tc>
          <w:tcPr>
            <w:tcW w:type="dxa" w:w="2100"/>
            <w:tcMar>
              <w:top w:type="dxa" w:w="50"/>
              <w:left w:type="dxa" w:w="80"/>
              <w:bottom w:type="dxa" w:w="50"/>
              <w:right w:type="dxa" w:w="80"/>
            </w:tcMar>
          </w:tcPr>
          <w:p>
            <w:r>
              <w:rPr>
                <w:b w:val="false"/>
                <w:bCs w:val="false"/>
                <w:sz w:val="17"/>
                <w:szCs w:val="17"/>
              </w:rPr>
              <w:t xml:space="preserve">Crandon Bridge</w:t>
            </w:r>
          </w:p>
        </w:tc>
        <w:tc>
          <w:tcPr>
            <w:tcW w:type="dxa" w:w="2000"/>
            <w:tcMar>
              <w:top w:type="dxa" w:w="50"/>
              <w:left w:type="dxa" w:w="80"/>
              <w:bottom w:type="dxa" w:w="50"/>
              <w:right w:type="dxa" w:w="80"/>
            </w:tcMar>
          </w:tcPr>
          <w:p>
            <w:r>
              <w:rPr>
                <w:b w:val="false"/>
                <w:bCs w:val="false"/>
                <w:sz w:val="17"/>
                <w:szCs w:val="17"/>
              </w:rPr>
              <w:t xml:space="preserve">King's Sedgemoor Drain</w:t>
            </w:r>
          </w:p>
        </w:tc>
        <w:tc>
          <w:tcPr>
            <w:tcW w:type="dxa" w:w="1150"/>
            <w:tcMar>
              <w:top w:type="dxa" w:w="50"/>
              <w:left w:type="dxa" w:w="80"/>
              <w:bottom w:type="dxa" w:w="50"/>
              <w:right w:type="dxa" w:w="80"/>
            </w:tcMar>
          </w:tcPr>
          <w:p>
            <w:r>
              <w:rPr>
                <w:b w:val="false"/>
                <w:bCs w:val="false"/>
                <w:sz w:val="17"/>
                <w:szCs w:val="17"/>
              </w:rPr>
              <w:t xml:space="preserve">81.3</w:t>
            </w:r>
          </w:p>
        </w:tc>
        <w:tc>
          <w:tcPr>
            <w:tcW w:type="dxa" w:w="1000"/>
            <w:tcMar>
              <w:top w:type="dxa" w:w="50"/>
              <w:left w:type="dxa" w:w="80"/>
              <w:bottom w:type="dxa" w:w="50"/>
              <w:right w:type="dxa" w:w="80"/>
            </w:tcMar>
          </w:tcPr>
          <w:p>
            <w:r>
              <w:rPr>
                <w:b w:val="false"/>
                <w:bCs w:val="false"/>
                <w:sz w:val="17"/>
                <w:szCs w:val="17"/>
              </w:rPr>
              <w:t xml:space="preserve">0</w:t>
            </w:r>
          </w:p>
        </w:tc>
        <w:tc>
          <w:tcPr>
            <w:tcW w:type="dxa" w:w="1300"/>
            <w:tcMar>
              <w:top w:type="dxa" w:w="50"/>
              <w:left w:type="dxa" w:w="80"/>
              <w:bottom w:type="dxa" w:w="50"/>
              <w:right w:type="dxa" w:w="80"/>
            </w:tcMar>
          </w:tcPr>
          <w:p>
            <w:r>
              <w:rPr>
                <w:b w:val="false"/>
                <w:bCs w:val="false"/>
                <w:sz w:val="17"/>
                <w:szCs w:val="17"/>
              </w:rPr>
              <w:t xml:space="preserve">Good</w:t>
            </w:r>
          </w:p>
        </w:tc>
        <w:tc>
          <w:tcPr>
            <w:tcW w:type="dxa" w:w="1900"/>
            <w:tcMar>
              <w:top w:type="dxa" w:w="50"/>
              <w:left w:type="dxa" w:w="80"/>
              <w:bottom w:type="dxa" w:w="50"/>
              <w:right w:type="dxa" w:w="80"/>
            </w:tcMar>
          </w:tcPr>
          <w:p>
            <w:r>
              <w:rPr>
                <w:b w:val="false"/>
                <w:bCs w:val="false"/>
                <w:sz w:val="17"/>
                <w:szCs w:val="17"/>
              </w:rPr>
              <w:t xml:space="preserve">none of the five</w:t>
            </w:r>
          </w:p>
        </w:tc>
      </w:tr>
      <w:tr>
        <w:tc>
          <w:tcPr>
            <w:tcW w:type="dxa" w:w="700"/>
            <w:tcMar>
              <w:top w:type="dxa" w:w="50"/>
              <w:left w:type="dxa" w:w="80"/>
              <w:bottom w:type="dxa" w:w="50"/>
              <w:right w:type="dxa" w:w="80"/>
            </w:tcMar>
          </w:tcPr>
          <w:p>
            <w:r>
              <w:rPr>
                <w:b w:val="false"/>
                <w:bCs w:val="false"/>
                <w:sz w:val="17"/>
                <w:szCs w:val="17"/>
              </w:rPr>
              <w:t xml:space="preserve">2</w:t>
            </w:r>
          </w:p>
        </w:tc>
        <w:tc>
          <w:tcPr>
            <w:tcW w:type="dxa" w:w="2100"/>
            <w:tcMar>
              <w:top w:type="dxa" w:w="50"/>
              <w:left w:type="dxa" w:w="80"/>
              <w:bottom w:type="dxa" w:w="50"/>
              <w:right w:type="dxa" w:w="80"/>
            </w:tcMar>
          </w:tcPr>
          <w:p>
            <w:r>
              <w:rPr>
                <w:b w:val="false"/>
                <w:bCs w:val="false"/>
                <w:sz w:val="17"/>
                <w:szCs w:val="17"/>
              </w:rPr>
              <w:t xml:space="preserve">Kingston</w:t>
            </w:r>
          </w:p>
        </w:tc>
        <w:tc>
          <w:tcPr>
            <w:tcW w:type="dxa" w:w="2000"/>
            <w:tcMar>
              <w:top w:type="dxa" w:w="50"/>
              <w:left w:type="dxa" w:w="80"/>
              <w:bottom w:type="dxa" w:w="50"/>
              <w:right w:type="dxa" w:w="80"/>
            </w:tcMar>
          </w:tcPr>
          <w:p>
            <w:r>
              <w:rPr>
                <w:b w:val="false"/>
                <w:bCs w:val="false"/>
                <w:sz w:val="17"/>
                <w:szCs w:val="17"/>
              </w:rPr>
              <w:t xml:space="preserve">Thames</w:t>
            </w:r>
          </w:p>
        </w:tc>
        <w:tc>
          <w:tcPr>
            <w:tcW w:type="dxa" w:w="1150"/>
            <w:tcMar>
              <w:top w:type="dxa" w:w="50"/>
              <w:left w:type="dxa" w:w="80"/>
              <w:bottom w:type="dxa" w:w="50"/>
              <w:right w:type="dxa" w:w="80"/>
            </w:tcMar>
          </w:tcPr>
          <w:p>
            <w:r>
              <w:rPr>
                <w:b w:val="false"/>
                <w:bCs w:val="false"/>
                <w:sz w:val="17"/>
                <w:szCs w:val="17"/>
              </w:rPr>
              <w:t xml:space="preserve">431.5</w:t>
            </w:r>
          </w:p>
        </w:tc>
        <w:tc>
          <w:tcPr>
            <w:tcW w:type="dxa" w:w="1000"/>
            <w:tcMar>
              <w:top w:type="dxa" w:w="50"/>
              <w:left w:type="dxa" w:w="80"/>
              <w:bottom w:type="dxa" w:w="50"/>
              <w:right w:type="dxa" w:w="80"/>
            </w:tcMar>
          </w:tcPr>
          <w:p>
            <w:r>
              <w:rPr>
                <w:b w:val="false"/>
                <w:bCs w:val="false"/>
                <w:sz w:val="17"/>
                <w:szCs w:val="17"/>
              </w:rPr>
              <w:t xml:space="preserve">16</w:t>
            </w:r>
          </w:p>
        </w:tc>
        <w:tc>
          <w:tcPr>
            <w:tcW w:type="dxa" w:w="1300"/>
            <w:tcMar>
              <w:top w:type="dxa" w:w="50"/>
              <w:left w:type="dxa" w:w="80"/>
              <w:bottom w:type="dxa" w:w="50"/>
              <w:right w:type="dxa" w:w="80"/>
            </w:tcMar>
          </w:tcPr>
          <w:p>
            <w:r>
              <w:rPr>
                <w:b w:val="false"/>
                <w:bCs w:val="false"/>
                <w:sz w:val="17"/>
                <w:szCs w:val="17"/>
              </w:rPr>
              <w:t xml:space="preserve">outside</w:t>
            </w:r>
          </w:p>
        </w:tc>
        <w:tc>
          <w:tcPr>
            <w:tcW w:type="dxa" w:w="1900"/>
            <w:tcMar>
              <w:top w:type="dxa" w:w="50"/>
              <w:left w:type="dxa" w:w="80"/>
              <w:bottom w:type="dxa" w:w="50"/>
              <w:right w:type="dxa" w:w="80"/>
            </w:tcMar>
          </w:tcPr>
          <w:p>
            <w:r>
              <w:rPr>
                <w:b w:val="false"/>
                <w:bCs w:val="false"/>
                <w:sz w:val="17"/>
                <w:szCs w:val="17"/>
              </w:rPr>
              <w:t xml:space="preserve">chalk stream 39 m</w:t>
            </w:r>
          </w:p>
        </w:tc>
      </w:tr>
      <w:tr>
        <w:tc>
          <w:tcPr>
            <w:tcW w:type="dxa" w:w="700"/>
            <w:tcMar>
              <w:top w:type="dxa" w:w="50"/>
              <w:left w:type="dxa" w:w="80"/>
              <w:bottom w:type="dxa" w:w="50"/>
              <w:right w:type="dxa" w:w="80"/>
            </w:tcMar>
          </w:tcPr>
          <w:p>
            <w:r>
              <w:rPr>
                <w:b w:val="false"/>
                <w:bCs w:val="false"/>
                <w:sz w:val="17"/>
                <w:szCs w:val="17"/>
              </w:rPr>
              <w:t xml:space="preserve">2</w:t>
            </w:r>
          </w:p>
        </w:tc>
        <w:tc>
          <w:tcPr>
            <w:tcW w:type="dxa" w:w="2100"/>
            <w:tcMar>
              <w:top w:type="dxa" w:w="50"/>
              <w:left w:type="dxa" w:w="80"/>
              <w:bottom w:type="dxa" w:w="50"/>
              <w:right w:type="dxa" w:w="80"/>
            </w:tcMar>
          </w:tcPr>
          <w:p>
            <w:r>
              <w:rPr>
                <w:b w:val="false"/>
                <w:bCs w:val="false"/>
                <w:sz w:val="17"/>
                <w:szCs w:val="17"/>
              </w:rPr>
              <w:t xml:space="preserve">Throop</w:t>
            </w:r>
          </w:p>
        </w:tc>
        <w:tc>
          <w:tcPr>
            <w:tcW w:type="dxa" w:w="2000"/>
            <w:tcMar>
              <w:top w:type="dxa" w:w="50"/>
              <w:left w:type="dxa" w:w="80"/>
              <w:bottom w:type="dxa" w:w="50"/>
              <w:right w:type="dxa" w:w="80"/>
            </w:tcMar>
          </w:tcPr>
          <w:p>
            <w:r>
              <w:rPr>
                <w:b w:val="false"/>
                <w:bCs w:val="false"/>
                <w:sz w:val="17"/>
                <w:szCs w:val="17"/>
              </w:rPr>
              <w:t xml:space="preserve">Dorset Stour</w:t>
            </w:r>
          </w:p>
        </w:tc>
        <w:tc>
          <w:tcPr>
            <w:tcW w:type="dxa" w:w="1150"/>
            <w:tcMar>
              <w:top w:type="dxa" w:w="50"/>
              <w:left w:type="dxa" w:w="80"/>
              <w:bottom w:type="dxa" w:w="50"/>
              <w:right w:type="dxa" w:w="80"/>
            </w:tcMar>
          </w:tcPr>
          <w:p>
            <w:r>
              <w:rPr>
                <w:b w:val="false"/>
                <w:bCs w:val="false"/>
                <w:sz w:val="17"/>
                <w:szCs w:val="17"/>
              </w:rPr>
              <w:t xml:space="preserve">115.5</w:t>
            </w:r>
          </w:p>
        </w:tc>
        <w:tc>
          <w:tcPr>
            <w:tcW w:type="dxa" w:w="1000"/>
            <w:tcMar>
              <w:top w:type="dxa" w:w="50"/>
              <w:left w:type="dxa" w:w="80"/>
              <w:bottom w:type="dxa" w:w="50"/>
              <w:right w:type="dxa" w:w="80"/>
            </w:tcMar>
          </w:tcPr>
          <w:p>
            <w:r>
              <w:rPr>
                <w:b w:val="false"/>
                <w:bCs w:val="false"/>
                <w:sz w:val="17"/>
                <w:szCs w:val="17"/>
              </w:rPr>
              <w:t xml:space="preserve">2</w:t>
            </w:r>
          </w:p>
        </w:tc>
        <w:tc>
          <w:tcPr>
            <w:tcW w:type="dxa" w:w="1300"/>
            <w:tcMar>
              <w:top w:type="dxa" w:w="50"/>
              <w:left w:type="dxa" w:w="80"/>
              <w:bottom w:type="dxa" w:w="50"/>
              <w:right w:type="dxa" w:w="80"/>
            </w:tcMar>
          </w:tcPr>
          <w:p>
            <w:r>
              <w:rPr>
                <w:b w:val="false"/>
                <w:bCs w:val="false"/>
                <w:sz w:val="17"/>
                <w:szCs w:val="17"/>
              </w:rPr>
              <w:t xml:space="preserve">Good</w:t>
            </w:r>
          </w:p>
        </w:tc>
        <w:tc>
          <w:tcPr>
            <w:tcW w:type="dxa" w:w="1900"/>
            <w:tcMar>
              <w:top w:type="dxa" w:w="50"/>
              <w:left w:type="dxa" w:w="80"/>
              <w:bottom w:type="dxa" w:w="50"/>
              <w:right w:type="dxa" w:w="80"/>
            </w:tcMar>
          </w:tcPr>
          <w:p>
            <w:r>
              <w:rPr>
                <w:b w:val="false"/>
                <w:bCs w:val="false"/>
                <w:sz w:val="17"/>
                <w:szCs w:val="17"/>
              </w:rPr>
              <w:t xml:space="preserve">chalk stream 22 m</w:t>
            </w:r>
          </w:p>
        </w:tc>
      </w:tr>
      <w:tr>
        <w:tc>
          <w:tcPr>
            <w:tcW w:type="dxa" w:w="700"/>
            <w:tcMar>
              <w:top w:type="dxa" w:w="50"/>
              <w:left w:type="dxa" w:w="80"/>
              <w:bottom w:type="dxa" w:w="50"/>
              <w:right w:type="dxa" w:w="80"/>
            </w:tcMar>
          </w:tcPr>
          <w:p>
            <w:r>
              <w:rPr>
                <w:b w:val="false"/>
                <w:bCs w:val="false"/>
                <w:sz w:val="17"/>
                <w:szCs w:val="17"/>
              </w:rPr>
              <w:t xml:space="preserve">2</w:t>
            </w:r>
          </w:p>
        </w:tc>
        <w:tc>
          <w:tcPr>
            <w:tcW w:type="dxa" w:w="2100"/>
            <w:tcMar>
              <w:top w:type="dxa" w:w="50"/>
              <w:left w:type="dxa" w:w="80"/>
              <w:bottom w:type="dxa" w:w="50"/>
              <w:right w:type="dxa" w:w="80"/>
            </w:tcMar>
          </w:tcPr>
          <w:p>
            <w:r>
              <w:rPr>
                <w:b w:val="false"/>
                <w:bCs w:val="false"/>
                <w:sz w:val="17"/>
                <w:szCs w:val="17"/>
              </w:rPr>
              <w:t xml:space="preserve">East Mills Combined</w:t>
            </w:r>
          </w:p>
        </w:tc>
        <w:tc>
          <w:tcPr>
            <w:tcW w:type="dxa" w:w="2000"/>
            <w:tcMar>
              <w:top w:type="dxa" w:w="50"/>
              <w:left w:type="dxa" w:w="80"/>
              <w:bottom w:type="dxa" w:w="50"/>
              <w:right w:type="dxa" w:w="80"/>
            </w:tcMar>
          </w:tcPr>
          <w:p>
            <w:r>
              <w:rPr>
                <w:b w:val="false"/>
                <w:bCs w:val="false"/>
                <w:sz w:val="17"/>
                <w:szCs w:val="17"/>
              </w:rPr>
              <w:t xml:space="preserve">Hampshire Avon</w:t>
            </w:r>
          </w:p>
        </w:tc>
        <w:tc>
          <w:tcPr>
            <w:tcW w:type="dxa" w:w="1150"/>
            <w:tcMar>
              <w:top w:type="dxa" w:w="50"/>
              <w:left w:type="dxa" w:w="80"/>
              <w:bottom w:type="dxa" w:w="50"/>
              <w:right w:type="dxa" w:w="80"/>
            </w:tcMar>
          </w:tcPr>
          <w:p>
            <w:r>
              <w:rPr>
                <w:b w:val="false"/>
                <w:bCs w:val="false"/>
                <w:sz w:val="17"/>
                <w:szCs w:val="17"/>
              </w:rPr>
              <w:t xml:space="preserve">92.6</w:t>
            </w:r>
          </w:p>
        </w:tc>
        <w:tc>
          <w:tcPr>
            <w:tcW w:type="dxa" w:w="1000"/>
            <w:tcMar>
              <w:top w:type="dxa" w:w="50"/>
              <w:left w:type="dxa" w:w="80"/>
              <w:bottom w:type="dxa" w:w="50"/>
              <w:right w:type="dxa" w:w="80"/>
            </w:tcMar>
          </w:tcPr>
          <w:p>
            <w:r>
              <w:rPr>
                <w:b w:val="false"/>
                <w:bCs w:val="false"/>
                <w:sz w:val="17"/>
                <w:szCs w:val="17"/>
              </w:rPr>
              <w:t xml:space="preserve">3</w:t>
            </w:r>
          </w:p>
        </w:tc>
        <w:tc>
          <w:tcPr>
            <w:tcW w:type="dxa" w:w="1300"/>
            <w:tcMar>
              <w:top w:type="dxa" w:w="50"/>
              <w:left w:type="dxa" w:w="80"/>
              <w:bottom w:type="dxa" w:w="50"/>
              <w:right w:type="dxa" w:w="80"/>
            </w:tcMar>
          </w:tcPr>
          <w:p>
            <w:r>
              <w:rPr>
                <w:b w:val="false"/>
                <w:bCs w:val="false"/>
                <w:sz w:val="17"/>
                <w:szCs w:val="17"/>
              </w:rPr>
              <w:t xml:space="preserve">Good</w:t>
            </w:r>
          </w:p>
        </w:tc>
        <w:tc>
          <w:tcPr>
            <w:tcW w:type="dxa" w:w="1900"/>
            <w:tcMar>
              <w:top w:type="dxa" w:w="50"/>
              <w:left w:type="dxa" w:w="80"/>
              <w:bottom w:type="dxa" w:w="50"/>
              <w:right w:type="dxa" w:w="80"/>
            </w:tcMar>
          </w:tcPr>
          <w:p>
            <w:r>
              <w:rPr>
                <w:b w:val="false"/>
                <w:bCs w:val="false"/>
                <w:sz w:val="17"/>
                <w:szCs w:val="17"/>
              </w:rPr>
              <w:t xml:space="preserve">INSIDE SSSI + SAC</w:t>
            </w:r>
          </w:p>
        </w:tc>
      </w:tr>
      <w:tr>
        <w:tc>
          <w:tcPr>
            <w:tcW w:type="dxa" w:w="700"/>
            <w:tcMar>
              <w:top w:type="dxa" w:w="50"/>
              <w:left w:type="dxa" w:w="80"/>
              <w:bottom w:type="dxa" w:w="50"/>
              <w:right w:type="dxa" w:w="80"/>
            </w:tcMar>
          </w:tcPr>
          <w:p>
            <w:r>
              <w:rPr>
                <w:b w:val="false"/>
                <w:bCs w:val="false"/>
                <w:sz w:val="17"/>
                <w:szCs w:val="17"/>
              </w:rPr>
              <w:t xml:space="preserve">2</w:t>
            </w:r>
          </w:p>
        </w:tc>
        <w:tc>
          <w:tcPr>
            <w:tcW w:type="dxa" w:w="2100"/>
            <w:tcMar>
              <w:top w:type="dxa" w:w="50"/>
              <w:left w:type="dxa" w:w="80"/>
              <w:bottom w:type="dxa" w:w="50"/>
              <w:right w:type="dxa" w:w="80"/>
            </w:tcMar>
          </w:tcPr>
          <w:p>
            <w:r>
              <w:rPr>
                <w:b w:val="false"/>
                <w:bCs w:val="false"/>
                <w:sz w:val="17"/>
                <w:szCs w:val="17"/>
              </w:rPr>
              <w:t xml:space="preserve">Low Hall</w:t>
            </w:r>
          </w:p>
        </w:tc>
        <w:tc>
          <w:tcPr>
            <w:tcW w:type="dxa" w:w="2000"/>
            <w:tcMar>
              <w:top w:type="dxa" w:w="50"/>
              <w:left w:type="dxa" w:w="80"/>
              <w:bottom w:type="dxa" w:w="50"/>
              <w:right w:type="dxa" w:w="80"/>
            </w:tcMar>
          </w:tcPr>
          <w:p>
            <w:r>
              <w:rPr>
                <w:b w:val="false"/>
                <w:bCs w:val="false"/>
                <w:sz w:val="17"/>
                <w:szCs w:val="17"/>
              </w:rPr>
              <w:t xml:space="preserve">Lee</w:t>
            </w:r>
          </w:p>
        </w:tc>
        <w:tc>
          <w:tcPr>
            <w:tcW w:type="dxa" w:w="1150"/>
            <w:tcMar>
              <w:top w:type="dxa" w:w="50"/>
              <w:left w:type="dxa" w:w="80"/>
              <w:bottom w:type="dxa" w:w="50"/>
              <w:right w:type="dxa" w:w="80"/>
            </w:tcMar>
          </w:tcPr>
          <w:p>
            <w:r>
              <w:rPr>
                <w:b w:val="false"/>
                <w:bCs w:val="false"/>
                <w:sz w:val="17"/>
                <w:szCs w:val="17"/>
              </w:rPr>
              <w:t xml:space="preserve">41.6</w:t>
            </w:r>
          </w:p>
        </w:tc>
        <w:tc>
          <w:tcPr>
            <w:tcW w:type="dxa" w:w="1000"/>
            <w:tcMar>
              <w:top w:type="dxa" w:w="50"/>
              <w:left w:type="dxa" w:w="80"/>
              <w:bottom w:type="dxa" w:w="50"/>
              <w:right w:type="dxa" w:w="80"/>
            </w:tcMar>
          </w:tcPr>
          <w:p>
            <w:r>
              <w:rPr>
                <w:b w:val="false"/>
                <w:bCs w:val="false"/>
                <w:sz w:val="17"/>
                <w:szCs w:val="17"/>
              </w:rPr>
              <w:t xml:space="preserve">0</w:t>
            </w:r>
          </w:p>
        </w:tc>
        <w:tc>
          <w:tcPr>
            <w:tcW w:type="dxa" w:w="1300"/>
            <w:tcMar>
              <w:top w:type="dxa" w:w="50"/>
              <w:left w:type="dxa" w:w="80"/>
              <w:bottom w:type="dxa" w:w="50"/>
              <w:right w:type="dxa" w:w="80"/>
            </w:tcMar>
          </w:tcPr>
          <w:p>
            <w:r>
              <w:rPr>
                <w:b w:val="false"/>
                <w:bCs w:val="false"/>
                <w:sz w:val="17"/>
                <w:szCs w:val="17"/>
              </w:rPr>
              <w:t xml:space="preserve">outside</w:t>
            </w:r>
          </w:p>
        </w:tc>
        <w:tc>
          <w:tcPr>
            <w:tcW w:type="dxa" w:w="1900"/>
            <w:tcMar>
              <w:top w:type="dxa" w:w="50"/>
              <w:left w:type="dxa" w:w="80"/>
              <w:bottom w:type="dxa" w:w="50"/>
              <w:right w:type="dxa" w:w="80"/>
            </w:tcMar>
          </w:tcPr>
          <w:p>
            <w:r>
              <w:rPr>
                <w:b w:val="false"/>
                <w:bCs w:val="false"/>
                <w:sz w:val="17"/>
                <w:szCs w:val="17"/>
              </w:rPr>
              <w:t xml:space="preserve">INSIDE SPZ1</w:t>
            </w:r>
          </w:p>
        </w:tc>
      </w:tr>
      <w:tr>
        <w:tc>
          <w:tcPr>
            <w:tcW w:type="dxa" w:w="700"/>
            <w:tcMar>
              <w:top w:type="dxa" w:w="50"/>
              <w:left w:type="dxa" w:w="80"/>
              <w:bottom w:type="dxa" w:w="50"/>
              <w:right w:type="dxa" w:w="80"/>
            </w:tcMar>
          </w:tcPr>
          <w:p>
            <w:r>
              <w:rPr>
                <w:b w:val="false"/>
                <w:bCs w:val="false"/>
                <w:sz w:val="17"/>
                <w:szCs w:val="17"/>
              </w:rPr>
              <w:t xml:space="preserve">2</w:t>
            </w:r>
          </w:p>
        </w:tc>
        <w:tc>
          <w:tcPr>
            <w:tcW w:type="dxa" w:w="2100"/>
            <w:tcMar>
              <w:top w:type="dxa" w:w="50"/>
              <w:left w:type="dxa" w:w="80"/>
              <w:bottom w:type="dxa" w:w="50"/>
              <w:right w:type="dxa" w:w="80"/>
            </w:tcMar>
          </w:tcPr>
          <w:p>
            <w:r>
              <w:rPr>
                <w:b w:val="false"/>
                <w:bCs w:val="false"/>
                <w:sz w:val="17"/>
                <w:szCs w:val="17"/>
              </w:rPr>
              <w:t xml:space="preserve">Welford</w:t>
            </w:r>
          </w:p>
        </w:tc>
        <w:tc>
          <w:tcPr>
            <w:tcW w:type="dxa" w:w="2000"/>
            <w:tcMar>
              <w:top w:type="dxa" w:w="50"/>
              <w:left w:type="dxa" w:w="80"/>
              <w:bottom w:type="dxa" w:w="50"/>
              <w:right w:type="dxa" w:w="80"/>
            </w:tcMar>
          </w:tcPr>
          <w:p>
            <w:r>
              <w:rPr>
                <w:b w:val="false"/>
                <w:bCs w:val="false"/>
                <w:sz w:val="17"/>
                <w:szCs w:val="17"/>
              </w:rPr>
              <w:t xml:space="preserve">Lambourn</w:t>
            </w:r>
          </w:p>
        </w:tc>
        <w:tc>
          <w:tcPr>
            <w:tcW w:type="dxa" w:w="1150"/>
            <w:tcMar>
              <w:top w:type="dxa" w:w="50"/>
              <w:left w:type="dxa" w:w="80"/>
              <w:bottom w:type="dxa" w:w="50"/>
              <w:right w:type="dxa" w:w="80"/>
            </w:tcMar>
          </w:tcPr>
          <w:p>
            <w:r>
              <w:rPr>
                <w:b w:val="false"/>
                <w:bCs w:val="false"/>
                <w:sz w:val="17"/>
                <w:szCs w:val="17"/>
              </w:rPr>
              <w:t xml:space="preserve">40.6</w:t>
            </w:r>
          </w:p>
        </w:tc>
        <w:tc>
          <w:tcPr>
            <w:tcW w:type="dxa" w:w="1000"/>
            <w:tcMar>
              <w:top w:type="dxa" w:w="50"/>
              <w:left w:type="dxa" w:w="80"/>
              <w:bottom w:type="dxa" w:w="50"/>
              <w:right w:type="dxa" w:w="80"/>
            </w:tcMar>
          </w:tcPr>
          <w:p>
            <w:r>
              <w:rPr>
                <w:b w:val="false"/>
                <w:bCs w:val="false"/>
                <w:sz w:val="17"/>
                <w:szCs w:val="17"/>
              </w:rPr>
              <w:t xml:space="preserve">0</w:t>
            </w:r>
          </w:p>
        </w:tc>
        <w:tc>
          <w:tcPr>
            <w:tcW w:type="dxa" w:w="1300"/>
            <w:tcMar>
              <w:top w:type="dxa" w:w="50"/>
              <w:left w:type="dxa" w:w="80"/>
              <w:bottom w:type="dxa" w:w="50"/>
              <w:right w:type="dxa" w:w="80"/>
            </w:tcMar>
          </w:tcPr>
          <w:p>
            <w:r>
              <w:rPr>
                <w:b w:val="false"/>
                <w:bCs w:val="false"/>
                <w:sz w:val="17"/>
                <w:szCs w:val="17"/>
              </w:rPr>
              <w:t xml:space="preserve">Poor</w:t>
            </w:r>
          </w:p>
        </w:tc>
        <w:tc>
          <w:tcPr>
            <w:tcW w:type="dxa" w:w="1900"/>
            <w:tcMar>
              <w:top w:type="dxa" w:w="50"/>
              <w:left w:type="dxa" w:w="80"/>
              <w:bottom w:type="dxa" w:w="50"/>
              <w:right w:type="dxa" w:w="80"/>
            </w:tcMar>
          </w:tcPr>
          <w:p>
            <w:r>
              <w:rPr>
                <w:b w:val="false"/>
                <w:bCs w:val="false"/>
                <w:sz w:val="17"/>
                <w:szCs w:val="17"/>
              </w:rPr>
              <w:t xml:space="preserve">INSIDE SPZ3, SSSI + SAC</w:t>
            </w:r>
          </w:p>
        </w:tc>
      </w:tr>
    </w:tbl>
    <w:p>
      <w:pPr>
        <w:spacing w:after="115"/>
      </w:pPr>
    </w:p>
    <w:p>
      <w:pPr>
        <w:spacing w:after="115"/>
      </w:pPr>
      <w:r>
        <w:rPr>
          <w:b/>
          <w:bCs/>
          <w:sz w:val="20"/>
          <w:szCs w:val="20"/>
        </w:rPr>
        <w:t xml:space="preserve">What '194.8 Mm3/yr' actually means. </w:t>
      </w:r>
      <w:r>
        <w:rPr>
          <w:sz w:val="20"/>
          <w:szCs w:val="20"/>
        </w:rPr>
        <w:t xml:space="preserve">Over 2015 to 2025, in an average year, 194.8 million cubic metres passed the gauge at Trews Weir above the hands-off flow, on days when the river was above the trigger. It measures how much water was theoretically available to a licence-shaped rule at that point on that river. It is not an amount anyone could take, store or use.</w:t>
      </w:r>
    </w:p>
    <w:p>
      <w:pPr>
        <w:spacing w:after="90" w:before="170"/>
      </w:pPr>
      <w:r>
        <w:rPr>
          <w:b/>
          <w:bCs/>
          <w:color w:val="31708F"/>
          <w:sz w:val="21"/>
          <w:szCs w:val="21"/>
        </w:rPr>
        <w:t xml:space="preserve">The traps, spelt out</w:t>
      </w:r>
    </w:p>
    <w:p>
      <w:pPr>
        <w:spacing w:after="85"/>
        <w:ind w:left="340" w:hanging="340"/>
      </w:pPr>
      <w:r>
        <w:rPr>
          <w:b/>
          <w:bCs/>
          <w:sz w:val="20"/>
          <w:szCs w:val="20"/>
        </w:rPr>
        <w:t xml:space="preserve">1  </w:t>
      </w:r>
      <w:r>
        <w:rPr>
          <w:b/>
          <w:bCs/>
          <w:sz w:val="20"/>
          <w:szCs w:val="20"/>
        </w:rPr>
        <w:t xml:space="preserve">Never add two rows together. </w:t>
      </w:r>
      <w:r>
        <w:rPr>
          <w:sz w:val="20"/>
          <w:szCs w:val="20"/>
        </w:rPr>
        <w:t xml:space="preserve">Each row already contains everything upstream of it. The 28 rows can be compared, but not summed with their own tributary gauges.</w:t>
      </w:r>
    </w:p>
    <w:p>
      <w:pPr>
        <w:spacing w:after="85"/>
        <w:ind w:left="340" w:hanging="340"/>
      </w:pPr>
      <w:r>
        <w:rPr>
          <w:b/>
          <w:bCs/>
          <w:sz w:val="20"/>
          <w:szCs w:val="20"/>
        </w:rPr>
        <w:t xml:space="preserve">2  </w:t>
      </w:r>
      <w:r>
        <w:rPr>
          <w:b/>
          <w:bCs/>
          <w:sz w:val="20"/>
          <w:szCs w:val="20"/>
        </w:rPr>
        <w:t xml:space="preserve">Divertible is not available. </w:t>
      </w:r>
      <w:r>
        <w:rPr>
          <w:sz w:val="20"/>
          <w:szCs w:val="20"/>
        </w:rPr>
        <w:t xml:space="preserve">No pump, pipeline, treatment plant, borehole or aquifer acceptance rate is considered anywhere in this screen. Whether the ground could swallow water at that rate is untested here - and in most real schemes it is the binding constraint.</w:t>
      </w:r>
    </w:p>
    <w:p>
      <w:pPr>
        <w:spacing w:after="85"/>
        <w:ind w:left="340" w:hanging="340"/>
      </w:pPr>
      <w:r>
        <w:rPr>
          <w:b/>
          <w:bCs/>
          <w:sz w:val="20"/>
          <w:szCs w:val="20"/>
        </w:rPr>
        <w:t xml:space="preserve">3  </w:t>
      </w:r>
      <w:r>
        <w:rPr>
          <w:b/>
          <w:bCs/>
          <w:sz w:val="20"/>
          <w:szCs w:val="20"/>
        </w:rPr>
        <w:t xml:space="preserve">'Highly productive aquifer' says nothing about storage volume. </w:t>
      </w:r>
      <w:r>
        <w:rPr>
          <w:sz w:val="20"/>
          <w:szCs w:val="20"/>
        </w:rPr>
        <w:t xml:space="preserve">It describes how easily water moves through rock - and easy movement is as much a reason water will leave a store as a reason it will enter one. What decides whether a winter's water is still there in August is confinement: a low-permeability cap above it. The 1:625k map cannot show that, because it maps rock at outcrop - where Chalk lies beneath London Clay, the map shows London Clay. Our Somerset measurements give unconfined Chalk a 41-day drainage half-life.</w:t>
      </w:r>
    </w:p>
    <w:p>
      <w:pPr>
        <w:spacing w:after="85"/>
        <w:ind w:left="340" w:hanging="340"/>
      </w:pPr>
      <w:r>
        <w:rPr>
          <w:b/>
          <w:bCs/>
          <w:sz w:val="20"/>
          <w:szCs w:val="20"/>
        </w:rPr>
        <w:t xml:space="preserve">4  </w:t>
      </w:r>
      <w:r>
        <w:rPr>
          <w:b/>
          <w:bCs/>
          <w:sz w:val="20"/>
          <w:szCs w:val="20"/>
        </w:rPr>
        <w:t xml:space="preserve">Distances are straight lines. </w:t>
      </w:r>
      <w:r>
        <w:rPr>
          <w:sz w:val="20"/>
          <w:szCs w:val="20"/>
        </w:rPr>
        <w:t xml:space="preserve">15 km on a map is not 15 km of pipeline, and says nothing about the ground in between or who owns it.</w:t>
      </w:r>
    </w:p>
    <w:p>
      <w:pPr>
        <w:spacing w:after="85"/>
        <w:ind w:left="340" w:hanging="340"/>
      </w:pPr>
      <w:r>
        <w:rPr>
          <w:b/>
          <w:bCs/>
          <w:sz w:val="20"/>
          <w:szCs w:val="20"/>
        </w:rPr>
        <w:t xml:space="preserve">5  </w:t>
      </w:r>
      <w:r>
        <w:rPr>
          <w:b/>
          <w:bCs/>
          <w:sz w:val="20"/>
          <w:szCs w:val="20"/>
        </w:rPr>
        <w:t xml:space="preserve">A gauge is a measuring point, not a proposed intake. </w:t>
      </w:r>
      <w:r>
        <w:rPr>
          <w:sz w:val="20"/>
          <w:szCs w:val="20"/>
        </w:rPr>
        <w:t xml:space="preserve">It is where somebody chose to put a flow recorder, sometimes decades ago.</w:t>
      </w:r>
    </w:p>
    <w:p>
      <w:pPr>
        <w:spacing w:after="85"/>
        <w:ind w:left="340" w:hanging="340"/>
      </w:pPr>
      <w:r>
        <w:rPr>
          <w:b/>
          <w:bCs/>
          <w:sz w:val="20"/>
          <w:szCs w:val="20"/>
        </w:rPr>
        <w:t xml:space="preserve">6  </w:t>
      </w:r>
      <w:r>
        <w:rPr>
          <w:b/>
          <w:bCs/>
          <w:sz w:val="20"/>
          <w:szCs w:val="20"/>
        </w:rPr>
        <w:t xml:space="preserve">Borehole counts are about evidence, not geology. </w:t>
      </w:r>
      <w:r>
        <w:rPr>
          <w:sz w:val="20"/>
          <w:szCs w:val="20"/>
        </w:rPr>
        <w:t xml:space="preserve">The index carries no rock descriptions, thickness or yield. 808 boreholes near Riverside Park with not one reaching 50 m tells you a lot of shallow construction happened there and nobody drilled for water.</w:t>
      </w:r>
    </w:p>
    <w:p>
      <w:pPr>
        <w:spacing w:after="85"/>
        <w:ind w:left="340" w:hanging="340"/>
      </w:pPr>
      <w:r>
        <w:rPr>
          <w:b/>
          <w:bCs/>
          <w:sz w:val="20"/>
          <w:szCs w:val="20"/>
        </w:rPr>
        <w:t xml:space="preserve">7  </w:t>
      </w:r>
      <w:r>
        <w:rPr>
          <w:b/>
          <w:bCs/>
          <w:sz w:val="20"/>
          <w:szCs w:val="20"/>
        </w:rPr>
        <w:t xml:space="preserve">An empty constraint column means 'none of these five layers', </w:t>
      </w:r>
      <w:r>
        <w:rPr>
          <w:sz w:val="20"/>
          <w:szCs w:val="20"/>
        </w:rPr>
        <w:t xml:space="preserve">not 'unconstrained'. Licensing, existing users, planning, land ownership and flood risk are all absent.</w:t>
      </w:r>
    </w:p>
    <w:p>
      <w:pPr>
        <w:spacing w:after="85"/>
        <w:ind w:left="340" w:hanging="340"/>
      </w:pPr>
      <w:r>
        <w:rPr>
          <w:b/>
          <w:bCs/>
          <w:sz w:val="20"/>
          <w:szCs w:val="20"/>
        </w:rPr>
        <w:t xml:space="preserve">8  </w:t>
      </w:r>
      <w:r>
        <w:rPr>
          <w:b/>
          <w:bCs/>
          <w:sz w:val="20"/>
          <w:szCs w:val="20"/>
        </w:rPr>
        <w:t xml:space="preserve">'Inside' is tested at the gauge point. </w:t>
      </w:r>
      <w:r>
        <w:rPr>
          <w:sz w:val="20"/>
          <w:szCs w:val="20"/>
        </w:rPr>
        <w:t xml:space="preserve">A scheme is bigger than a gauge; four candidates sit within 10 metres of a boundary without counting as inside it.</w:t>
      </w:r>
    </w:p>
    <w:p>
      <w:pPr>
        <w:pStyle w:val="Heading1"/>
        <w:spacing w:after="115" w:before="250"/>
      </w:pPr>
      <w:r>
        <w:t xml:space="preserve">6. Conclusions</w:t>
      </w:r>
    </w:p>
    <w:p>
      <w:pPr>
        <w:spacing w:after="85"/>
        <w:ind w:left="340" w:hanging="340"/>
      </w:pPr>
      <w:r>
        <w:rPr>
          <w:b/>
          <w:bCs/>
          <w:sz w:val="20"/>
          <w:szCs w:val="20"/>
        </w:rPr>
        <w:t xml:space="preserve">1  </w:t>
      </w:r>
      <w:r>
        <w:rPr>
          <w:b/>
          <w:bCs/>
          <w:sz w:val="20"/>
          <w:szCs w:val="20"/>
        </w:rPr>
        <w:t xml:space="preserve">The resource is real, and concentrated. </w:t>
      </w:r>
      <w:r>
        <w:rPr>
          <w:sz w:val="20"/>
          <w:szCs w:val="20"/>
        </w:rPr>
        <w:t xml:space="preserve">28 independent systems clear 20 Mm3/yr, totalling 1,943 Mm3/yr. Kingston alone is 22% of that - one river system is nearly a quarter of the regional opportunity.</w:t>
      </w:r>
    </w:p>
    <w:p>
      <w:pPr>
        <w:spacing w:after="85"/>
        <w:ind w:left="340" w:hanging="340"/>
      </w:pPr>
      <w:r>
        <w:rPr>
          <w:b/>
          <w:bCs/>
          <w:sz w:val="20"/>
          <w:szCs w:val="20"/>
        </w:rPr>
        <w:t xml:space="preserve">2  </w:t>
      </w:r>
      <w:r>
        <w:rPr>
          <w:b/>
          <w:bCs/>
          <w:sz w:val="20"/>
          <w:szCs w:val="20"/>
        </w:rPr>
        <w:t xml:space="preserve">Physical opportunity and regulatory difficulty are correlated, not independent. </w:t>
      </w:r>
      <w:r>
        <w:rPr>
          <w:sz w:val="20"/>
          <w:szCs w:val="20"/>
        </w:rPr>
        <w:t xml:space="preserve">Three candidates stand inside a Source Protection Zone 1, the innermost protection ring around a public water supply. That is not bad luck: an SPZ1 exists because the aquifer beneath is productive and already used for supply. The same fact that makes a site score well is what put the zone there.</w:t>
      </w:r>
    </w:p>
    <w:p>
      <w:pPr>
        <w:spacing w:after="85"/>
        <w:ind w:left="340" w:hanging="340"/>
      </w:pPr>
      <w:r>
        <w:rPr>
          <w:b/>
          <w:bCs/>
          <w:sz w:val="20"/>
          <w:szCs w:val="20"/>
        </w:rPr>
        <w:t xml:space="preserve">3  </w:t>
      </w:r>
      <w:r>
        <w:rPr>
          <w:b/>
          <w:bCs/>
          <w:sz w:val="20"/>
          <w:szCs w:val="20"/>
        </w:rPr>
        <w:t xml:space="preserve">The tier-2 list and the chalk stream map are nearly the same map. </w:t>
      </w:r>
      <w:r>
        <w:rPr>
          <w:sz w:val="20"/>
          <w:szCs w:val="20"/>
        </w:rPr>
        <w:t xml:space="preserve">Eight candidates sit within 50 metres of a designated chalk stream. The most productive Chalk options are also the most politically exposed freshwater habitat in England.</w:t>
      </w:r>
    </w:p>
    <w:p>
      <w:pPr>
        <w:spacing w:after="85"/>
        <w:ind w:left="340" w:hanging="340"/>
      </w:pPr>
      <w:r>
        <w:rPr>
          <w:b/>
          <w:bCs/>
          <w:sz w:val="20"/>
          <w:szCs w:val="20"/>
        </w:rPr>
        <w:t xml:space="preserve">4  </w:t>
      </w:r>
      <w:r>
        <w:rPr>
          <w:b/>
          <w:bCs/>
          <w:sz w:val="20"/>
          <w:szCs w:val="20"/>
        </w:rPr>
        <w:t xml:space="preserve">Six candidates carry none of the designations we can see, </w:t>
      </w:r>
      <w:r>
        <w:rPr>
          <w:sz w:val="20"/>
          <w:szCs w:val="20"/>
        </w:rPr>
        <w:t xml:space="preserve">led by Trews Weir at 194.8 Mm3/yr - and three of the six are in Somerset.</w:t>
      </w:r>
    </w:p>
    <w:p>
      <w:pPr>
        <w:spacing w:after="85"/>
        <w:ind w:left="340" w:hanging="340"/>
      </w:pPr>
      <w:r>
        <w:rPr>
          <w:b/>
          <w:bCs/>
          <w:sz w:val="20"/>
          <w:szCs w:val="20"/>
        </w:rPr>
        <w:t xml:space="preserve">5  </w:t>
      </w:r>
      <w:r>
        <w:rPr>
          <w:b/>
          <w:bCs/>
          <w:sz w:val="20"/>
          <w:szCs w:val="20"/>
        </w:rPr>
        <w:t xml:space="preserve">Nowhere is unexamined, but depth is scarce. </w:t>
      </w:r>
      <w:r>
        <w:rPr>
          <w:sz w:val="20"/>
          <w:szCs w:val="20"/>
        </w:rPr>
        <w:t xml:space="preserve">Every candidate has boreholes nearby; four have none deeper than 50 m within 2 km. Pallingham is the thinnest - four boreholes, none deep - and is the fourth-largest tier-1 system.</w:t>
      </w:r>
    </w:p>
    <w:p>
      <w:pPr>
        <w:pStyle w:val="Heading1"/>
        <w:spacing w:after="115" w:before="250"/>
      </w:pPr>
      <w:r>
        <w:t xml:space="preserve">7. What Somerset looks like in a regional frame</w:t>
      </w:r>
    </w:p>
    <w:p>
      <w:pPr>
        <w:spacing w:after="115"/>
      </w:pPr>
      <w:r>
        <w:rPr>
          <w:sz w:val="20"/>
          <w:szCs w:val="20"/>
        </w:rPr>
        <w:t xml:space="preserve">Somerset returns the largest cluster in the screen - and, more surprisingly, some of the least constrained sites in southern England. Of the six candidates region-wide sitting inside no designation at all, three are Somerset.</w:t>
      </w:r>
    </w:p>
    <w:tbl>
      <w:tblPr>
        <w:tblW w:type="dxa" w:w="9100"/>
        <w:tblBorders>
          <w:top w:val="single" w:color="auto" w:sz="4"/>
          <w:left w:val="single" w:color="auto" w:sz="4"/>
          <w:bottom w:val="single" w:color="auto" w:sz="4"/>
          <w:right w:val="single" w:color="auto" w:sz="4"/>
          <w:insideH w:val="single" w:color="auto" w:sz="4"/>
          <w:insideV w:val="single" w:color="auto" w:sz="4"/>
        </w:tblBorders>
      </w:tblPr>
      <w:tblGrid>
        <w:gridCol w:w="2300"/>
        <w:gridCol w:w="700"/>
        <w:gridCol w:w="1100"/>
        <w:gridCol w:w="1200"/>
        <w:gridCol w:w="1900"/>
        <w:gridCol w:w="1900"/>
      </w:tblGrid>
      <w:tr>
        <w:tc>
          <w:tcPr>
            <w:tcW w:type="dxa" w:w="2300"/>
            <w:shd w:fill="DCE6F1" w:val="clear"/>
            <w:tcMar>
              <w:top w:type="dxa" w:w="50"/>
              <w:left w:type="dxa" w:w="80"/>
              <w:bottom w:type="dxa" w:w="50"/>
              <w:right w:type="dxa" w:w="80"/>
            </w:tcMar>
          </w:tcPr>
          <w:p>
            <w:r>
              <w:rPr>
                <w:b/>
                <w:bCs/>
                <w:sz w:val="17"/>
                <w:szCs w:val="17"/>
              </w:rPr>
              <w:t xml:space="preserve">Somerset system</w:t>
            </w:r>
          </w:p>
        </w:tc>
        <w:tc>
          <w:tcPr>
            <w:tcW w:type="dxa" w:w="700"/>
            <w:shd w:fill="DCE6F1" w:val="clear"/>
            <w:tcMar>
              <w:top w:type="dxa" w:w="50"/>
              <w:left w:type="dxa" w:w="80"/>
              <w:bottom w:type="dxa" w:w="50"/>
              <w:right w:type="dxa" w:w="80"/>
            </w:tcMar>
          </w:tcPr>
          <w:p>
            <w:r>
              <w:rPr>
                <w:b/>
                <w:bCs/>
                <w:sz w:val="17"/>
                <w:szCs w:val="17"/>
              </w:rPr>
              <w:t xml:space="preserve">tier</w:t>
            </w:r>
          </w:p>
        </w:tc>
        <w:tc>
          <w:tcPr>
            <w:tcW w:type="dxa" w:w="1100"/>
            <w:shd w:fill="DCE6F1" w:val="clear"/>
            <w:tcMar>
              <w:top w:type="dxa" w:w="50"/>
              <w:left w:type="dxa" w:w="80"/>
              <w:bottom w:type="dxa" w:w="50"/>
              <w:right w:type="dxa" w:w="80"/>
            </w:tcMar>
          </w:tcPr>
          <w:p>
            <w:r>
              <w:rPr>
                <w:b/>
                <w:bCs/>
                <w:sz w:val="17"/>
                <w:szCs w:val="17"/>
              </w:rPr>
              <w:t xml:space="preserve">Mm3/yr</w:t>
            </w:r>
          </w:p>
        </w:tc>
        <w:tc>
          <w:tcPr>
            <w:tcW w:type="dxa" w:w="1200"/>
            <w:shd w:fill="DCE6F1" w:val="clear"/>
            <w:tcMar>
              <w:top w:type="dxa" w:w="50"/>
              <w:left w:type="dxa" w:w="80"/>
              <w:bottom w:type="dxa" w:w="50"/>
              <w:right w:type="dxa" w:w="80"/>
            </w:tcMar>
          </w:tcPr>
          <w:p>
            <w:r>
              <w:rPr>
                <w:b/>
                <w:bCs/>
                <w:sz w:val="17"/>
                <w:szCs w:val="17"/>
              </w:rPr>
              <w:t xml:space="preserve">rank in tier</w:t>
            </w:r>
          </w:p>
        </w:tc>
        <w:tc>
          <w:tcPr>
            <w:tcW w:type="dxa" w:w="1900"/>
            <w:shd w:fill="DCE6F1" w:val="clear"/>
            <w:tcMar>
              <w:top w:type="dxa" w:w="50"/>
              <w:left w:type="dxa" w:w="80"/>
              <w:bottom w:type="dxa" w:w="50"/>
              <w:right w:type="dxa" w:w="80"/>
            </w:tcMar>
          </w:tcPr>
          <w:p>
            <w:r>
              <w:rPr>
                <w:b/>
                <w:bCs/>
                <w:sz w:val="17"/>
                <w:szCs w:val="17"/>
              </w:rPr>
              <w:t xml:space="preserve">constraint</w:t>
            </w:r>
          </w:p>
        </w:tc>
        <w:tc>
          <w:tcPr>
            <w:tcW w:type="dxa" w:w="1900"/>
            <w:shd w:fill="DCE6F1" w:val="clear"/>
            <w:tcMar>
              <w:top w:type="dxa" w:w="50"/>
              <w:left w:type="dxa" w:w="80"/>
              <w:bottom w:type="dxa" w:w="50"/>
              <w:right w:type="dxa" w:w="80"/>
            </w:tcMar>
          </w:tcPr>
          <w:p>
            <w:r>
              <w:rPr>
                <w:b/>
                <w:bCs/>
                <w:sz w:val="17"/>
                <w:szCs w:val="17"/>
              </w:rPr>
              <w:t xml:space="preserve">boreholes &lt;2km (deep)</w:t>
            </w:r>
          </w:p>
        </w:tc>
      </w:tr>
      <w:tr>
        <w:tc>
          <w:tcPr>
            <w:tcW w:type="dxa" w:w="2300"/>
            <w:tcMar>
              <w:top w:type="dxa" w:w="50"/>
              <w:left w:type="dxa" w:w="80"/>
              <w:bottom w:type="dxa" w:w="50"/>
              <w:right w:type="dxa" w:w="80"/>
            </w:tcMar>
          </w:tcPr>
          <w:p>
            <w:r>
              <w:rPr>
                <w:b w:val="false"/>
                <w:bCs w:val="false"/>
                <w:sz w:val="17"/>
                <w:szCs w:val="17"/>
              </w:rPr>
              <w:t xml:space="preserve">Crandon Bridge</w:t>
            </w:r>
          </w:p>
        </w:tc>
        <w:tc>
          <w:tcPr>
            <w:tcW w:type="dxa" w:w="700"/>
            <w:tcMar>
              <w:top w:type="dxa" w:w="50"/>
              <w:left w:type="dxa" w:w="80"/>
              <w:bottom w:type="dxa" w:w="50"/>
              <w:right w:type="dxa" w:w="80"/>
            </w:tcMar>
          </w:tcPr>
          <w:p>
            <w:r>
              <w:rPr>
                <w:b w:val="false"/>
                <w:bCs w:val="false"/>
                <w:sz w:val="17"/>
                <w:szCs w:val="17"/>
              </w:rPr>
              <w:t xml:space="preserve">1</w:t>
            </w:r>
          </w:p>
        </w:tc>
        <w:tc>
          <w:tcPr>
            <w:tcW w:type="dxa" w:w="1100"/>
            <w:tcMar>
              <w:top w:type="dxa" w:w="50"/>
              <w:left w:type="dxa" w:w="80"/>
              <w:bottom w:type="dxa" w:w="50"/>
              <w:right w:type="dxa" w:w="80"/>
            </w:tcMar>
          </w:tcPr>
          <w:p>
            <w:r>
              <w:rPr>
                <w:b w:val="false"/>
                <w:bCs w:val="false"/>
                <w:sz w:val="17"/>
                <w:szCs w:val="17"/>
              </w:rPr>
              <w:t xml:space="preserve">81.3</w:t>
            </w:r>
          </w:p>
        </w:tc>
        <w:tc>
          <w:tcPr>
            <w:tcW w:type="dxa" w:w="1200"/>
            <w:tcMar>
              <w:top w:type="dxa" w:w="50"/>
              <w:left w:type="dxa" w:w="80"/>
              <w:bottom w:type="dxa" w:w="50"/>
              <w:right w:type="dxa" w:w="80"/>
            </w:tcMar>
          </w:tcPr>
          <w:p>
            <w:r>
              <w:rPr>
                <w:b w:val="false"/>
                <w:bCs w:val="false"/>
                <w:sz w:val="17"/>
                <w:szCs w:val="17"/>
              </w:rPr>
              <w:t xml:space="preserve">5 of 16</w:t>
            </w:r>
          </w:p>
        </w:tc>
        <w:tc>
          <w:tcPr>
            <w:tcW w:type="dxa" w:w="1900"/>
            <w:tcMar>
              <w:top w:type="dxa" w:w="50"/>
              <w:left w:type="dxa" w:w="80"/>
              <w:bottom w:type="dxa" w:w="50"/>
              <w:right w:type="dxa" w:w="80"/>
            </w:tcMar>
          </w:tcPr>
          <w:p>
            <w:r>
              <w:rPr>
                <w:b w:val="false"/>
                <w:bCs w:val="false"/>
                <w:sz w:val="17"/>
                <w:szCs w:val="17"/>
              </w:rPr>
              <w:t xml:space="preserve">none of the five</w:t>
            </w:r>
          </w:p>
        </w:tc>
        <w:tc>
          <w:tcPr>
            <w:tcW w:type="dxa" w:w="1900"/>
            <w:tcMar>
              <w:top w:type="dxa" w:w="50"/>
              <w:left w:type="dxa" w:w="80"/>
              <w:bottom w:type="dxa" w:w="50"/>
              <w:right w:type="dxa" w:w="80"/>
            </w:tcMar>
          </w:tcPr>
          <w:p>
            <w:r>
              <w:rPr>
                <w:b w:val="false"/>
                <w:bCs w:val="false"/>
                <w:sz w:val="17"/>
                <w:szCs w:val="17"/>
              </w:rPr>
              <w:t xml:space="preserve">56 (4)</w:t>
            </w:r>
          </w:p>
        </w:tc>
      </w:tr>
      <w:tr>
        <w:tc>
          <w:tcPr>
            <w:tcW w:type="dxa" w:w="2300"/>
            <w:tcMar>
              <w:top w:type="dxa" w:w="50"/>
              <w:left w:type="dxa" w:w="80"/>
              <w:bottom w:type="dxa" w:w="50"/>
              <w:right w:type="dxa" w:w="80"/>
            </w:tcMar>
          </w:tcPr>
          <w:p>
            <w:r>
              <w:rPr>
                <w:b w:val="false"/>
                <w:bCs w:val="false"/>
                <w:sz w:val="17"/>
                <w:szCs w:val="17"/>
              </w:rPr>
              <w:t xml:space="preserve">Aller Drove Bridge</w:t>
            </w:r>
          </w:p>
        </w:tc>
        <w:tc>
          <w:tcPr>
            <w:tcW w:type="dxa" w:w="700"/>
            <w:tcMar>
              <w:top w:type="dxa" w:w="50"/>
              <w:left w:type="dxa" w:w="80"/>
              <w:bottom w:type="dxa" w:w="50"/>
              <w:right w:type="dxa" w:w="80"/>
            </w:tcMar>
          </w:tcPr>
          <w:p>
            <w:r>
              <w:rPr>
                <w:b w:val="false"/>
                <w:bCs w:val="false"/>
                <w:sz w:val="17"/>
                <w:szCs w:val="17"/>
              </w:rPr>
              <w:t xml:space="preserve">1</w:t>
            </w:r>
          </w:p>
        </w:tc>
        <w:tc>
          <w:tcPr>
            <w:tcW w:type="dxa" w:w="1100"/>
            <w:tcMar>
              <w:top w:type="dxa" w:w="50"/>
              <w:left w:type="dxa" w:w="80"/>
              <w:bottom w:type="dxa" w:w="50"/>
              <w:right w:type="dxa" w:w="80"/>
            </w:tcMar>
          </w:tcPr>
          <w:p>
            <w:r>
              <w:rPr>
                <w:b w:val="false"/>
                <w:bCs w:val="false"/>
                <w:sz w:val="17"/>
                <w:szCs w:val="17"/>
              </w:rPr>
              <w:t xml:space="preserve">53.1</w:t>
            </w:r>
          </w:p>
        </w:tc>
        <w:tc>
          <w:tcPr>
            <w:tcW w:type="dxa" w:w="1200"/>
            <w:tcMar>
              <w:top w:type="dxa" w:w="50"/>
              <w:left w:type="dxa" w:w="80"/>
              <w:bottom w:type="dxa" w:w="50"/>
              <w:right w:type="dxa" w:w="80"/>
            </w:tcMar>
          </w:tcPr>
          <w:p>
            <w:r>
              <w:rPr>
                <w:b w:val="false"/>
                <w:bCs w:val="false"/>
                <w:sz w:val="17"/>
                <w:szCs w:val="17"/>
              </w:rPr>
              <w:t xml:space="preserve">7 of 16</w:t>
            </w:r>
          </w:p>
        </w:tc>
        <w:tc>
          <w:tcPr>
            <w:tcW w:type="dxa" w:w="1900"/>
            <w:tcMar>
              <w:top w:type="dxa" w:w="50"/>
              <w:left w:type="dxa" w:w="80"/>
              <w:bottom w:type="dxa" w:w="50"/>
              <w:right w:type="dxa" w:w="80"/>
            </w:tcMar>
          </w:tcPr>
          <w:p>
            <w:r>
              <w:rPr>
                <w:b w:val="false"/>
                <w:bCs w:val="false"/>
                <w:sz w:val="17"/>
                <w:szCs w:val="17"/>
              </w:rPr>
              <w:t xml:space="preserve">SPA at 10 m</w:t>
            </w:r>
          </w:p>
        </w:tc>
        <w:tc>
          <w:tcPr>
            <w:tcW w:type="dxa" w:w="1900"/>
            <w:tcMar>
              <w:top w:type="dxa" w:w="50"/>
              <w:left w:type="dxa" w:w="80"/>
              <w:bottom w:type="dxa" w:w="50"/>
              <w:right w:type="dxa" w:w="80"/>
            </w:tcMar>
          </w:tcPr>
          <w:p>
            <w:r>
              <w:rPr>
                <w:b w:val="false"/>
                <w:bCs w:val="false"/>
                <w:sz w:val="17"/>
                <w:szCs w:val="17"/>
              </w:rPr>
              <w:t xml:space="preserve">17 (0)</w:t>
            </w:r>
          </w:p>
        </w:tc>
      </w:tr>
      <w:tr>
        <w:tc>
          <w:tcPr>
            <w:tcW w:type="dxa" w:w="2300"/>
            <w:tcMar>
              <w:top w:type="dxa" w:w="50"/>
              <w:left w:type="dxa" w:w="80"/>
              <w:bottom w:type="dxa" w:w="50"/>
              <w:right w:type="dxa" w:w="80"/>
            </w:tcMar>
          </w:tcPr>
          <w:p>
            <w:r>
              <w:rPr>
                <w:b w:val="false"/>
                <w:bCs w:val="false"/>
                <w:sz w:val="17"/>
                <w:szCs w:val="17"/>
              </w:rPr>
              <w:t xml:space="preserve">Taunton Market</w:t>
            </w:r>
          </w:p>
        </w:tc>
        <w:tc>
          <w:tcPr>
            <w:tcW w:type="dxa" w:w="700"/>
            <w:tcMar>
              <w:top w:type="dxa" w:w="50"/>
              <w:left w:type="dxa" w:w="80"/>
              <w:bottom w:type="dxa" w:w="50"/>
              <w:right w:type="dxa" w:w="80"/>
            </w:tcMar>
          </w:tcPr>
          <w:p>
            <w:r>
              <w:rPr>
                <w:b w:val="false"/>
                <w:bCs w:val="false"/>
                <w:sz w:val="17"/>
                <w:szCs w:val="17"/>
              </w:rPr>
              <w:t xml:space="preserve">1</w:t>
            </w:r>
          </w:p>
        </w:tc>
        <w:tc>
          <w:tcPr>
            <w:tcW w:type="dxa" w:w="1100"/>
            <w:tcMar>
              <w:top w:type="dxa" w:w="50"/>
              <w:left w:type="dxa" w:w="80"/>
              <w:bottom w:type="dxa" w:w="50"/>
              <w:right w:type="dxa" w:w="80"/>
            </w:tcMar>
          </w:tcPr>
          <w:p>
            <w:r>
              <w:rPr>
                <w:b w:val="false"/>
                <w:bCs w:val="false"/>
                <w:sz w:val="17"/>
                <w:szCs w:val="17"/>
              </w:rPr>
              <w:t xml:space="preserve">39.4</w:t>
            </w:r>
          </w:p>
        </w:tc>
        <w:tc>
          <w:tcPr>
            <w:tcW w:type="dxa" w:w="1200"/>
            <w:tcMar>
              <w:top w:type="dxa" w:w="50"/>
              <w:left w:type="dxa" w:w="80"/>
              <w:bottom w:type="dxa" w:w="50"/>
              <w:right w:type="dxa" w:w="80"/>
            </w:tcMar>
          </w:tcPr>
          <w:p>
            <w:r>
              <w:rPr>
                <w:b w:val="false"/>
                <w:bCs w:val="false"/>
                <w:sz w:val="17"/>
                <w:szCs w:val="17"/>
              </w:rPr>
              <w:t xml:space="preserve">8 of 16</w:t>
            </w:r>
          </w:p>
        </w:tc>
        <w:tc>
          <w:tcPr>
            <w:tcW w:type="dxa" w:w="1900"/>
            <w:tcMar>
              <w:top w:type="dxa" w:w="50"/>
              <w:left w:type="dxa" w:w="80"/>
              <w:bottom w:type="dxa" w:w="50"/>
              <w:right w:type="dxa" w:w="80"/>
            </w:tcMar>
          </w:tcPr>
          <w:p>
            <w:r>
              <w:rPr>
                <w:b w:val="false"/>
                <w:bCs w:val="false"/>
                <w:sz w:val="17"/>
                <w:szCs w:val="17"/>
              </w:rPr>
              <w:t xml:space="preserve">none of the five</w:t>
            </w:r>
          </w:p>
        </w:tc>
        <w:tc>
          <w:tcPr>
            <w:tcW w:type="dxa" w:w="1900"/>
            <w:tcMar>
              <w:top w:type="dxa" w:w="50"/>
              <w:left w:type="dxa" w:w="80"/>
              <w:bottom w:type="dxa" w:w="50"/>
              <w:right w:type="dxa" w:w="80"/>
            </w:tcMar>
          </w:tcPr>
          <w:p>
            <w:r>
              <w:rPr>
                <w:b w:val="false"/>
                <w:bCs w:val="false"/>
                <w:sz w:val="17"/>
                <w:szCs w:val="17"/>
              </w:rPr>
              <w:t xml:space="preserve">84 (5)</w:t>
            </w:r>
          </w:p>
        </w:tc>
      </w:tr>
      <w:tr>
        <w:tc>
          <w:tcPr>
            <w:tcW w:type="dxa" w:w="2300"/>
            <w:tcMar>
              <w:top w:type="dxa" w:w="50"/>
              <w:left w:type="dxa" w:w="80"/>
              <w:bottom w:type="dxa" w:w="50"/>
              <w:right w:type="dxa" w:w="80"/>
            </w:tcMar>
          </w:tcPr>
          <w:p>
            <w:r>
              <w:rPr>
                <w:b w:val="false"/>
                <w:bCs w:val="false"/>
                <w:sz w:val="17"/>
                <w:szCs w:val="17"/>
              </w:rPr>
              <w:t xml:space="preserve">Bason Bridge</w:t>
            </w:r>
          </w:p>
        </w:tc>
        <w:tc>
          <w:tcPr>
            <w:tcW w:type="dxa" w:w="700"/>
            <w:tcMar>
              <w:top w:type="dxa" w:w="50"/>
              <w:left w:type="dxa" w:w="80"/>
              <w:bottom w:type="dxa" w:w="50"/>
              <w:right w:type="dxa" w:w="80"/>
            </w:tcMar>
          </w:tcPr>
          <w:p>
            <w:r>
              <w:rPr>
                <w:b w:val="false"/>
                <w:bCs w:val="false"/>
                <w:sz w:val="17"/>
                <w:szCs w:val="17"/>
              </w:rPr>
              <w:t xml:space="preserve">1</w:t>
            </w:r>
          </w:p>
        </w:tc>
        <w:tc>
          <w:tcPr>
            <w:tcW w:type="dxa" w:w="1100"/>
            <w:tcMar>
              <w:top w:type="dxa" w:w="50"/>
              <w:left w:type="dxa" w:w="80"/>
              <w:bottom w:type="dxa" w:w="50"/>
              <w:right w:type="dxa" w:w="80"/>
            </w:tcMar>
          </w:tcPr>
          <w:p>
            <w:r>
              <w:rPr>
                <w:b w:val="false"/>
                <w:bCs w:val="false"/>
                <w:sz w:val="17"/>
                <w:szCs w:val="17"/>
              </w:rPr>
              <w:t xml:space="preserve">38.5</w:t>
            </w:r>
          </w:p>
        </w:tc>
        <w:tc>
          <w:tcPr>
            <w:tcW w:type="dxa" w:w="1200"/>
            <w:tcMar>
              <w:top w:type="dxa" w:w="50"/>
              <w:left w:type="dxa" w:w="80"/>
              <w:bottom w:type="dxa" w:w="50"/>
              <w:right w:type="dxa" w:w="80"/>
            </w:tcMar>
          </w:tcPr>
          <w:p>
            <w:r>
              <w:rPr>
                <w:b w:val="false"/>
                <w:bCs w:val="false"/>
                <w:sz w:val="17"/>
                <w:szCs w:val="17"/>
              </w:rPr>
              <w:t xml:space="preserve">9 of 16</w:t>
            </w:r>
          </w:p>
        </w:tc>
        <w:tc>
          <w:tcPr>
            <w:tcW w:type="dxa" w:w="1900"/>
            <w:tcMar>
              <w:top w:type="dxa" w:w="50"/>
              <w:left w:type="dxa" w:w="80"/>
              <w:bottom w:type="dxa" w:w="50"/>
              <w:right w:type="dxa" w:w="80"/>
            </w:tcMar>
          </w:tcPr>
          <w:p>
            <w:r>
              <w:rPr>
                <w:b w:val="false"/>
                <w:bCs w:val="false"/>
                <w:sz w:val="17"/>
                <w:szCs w:val="17"/>
              </w:rPr>
              <w:t xml:space="preserve">none of the five</w:t>
            </w:r>
          </w:p>
        </w:tc>
        <w:tc>
          <w:tcPr>
            <w:tcW w:type="dxa" w:w="1900"/>
            <w:tcMar>
              <w:top w:type="dxa" w:w="50"/>
              <w:left w:type="dxa" w:w="80"/>
              <w:bottom w:type="dxa" w:w="50"/>
              <w:right w:type="dxa" w:w="80"/>
            </w:tcMar>
          </w:tcPr>
          <w:p>
            <w:r>
              <w:rPr>
                <w:b w:val="false"/>
                <w:bCs w:val="false"/>
                <w:sz w:val="17"/>
                <w:szCs w:val="17"/>
              </w:rPr>
              <w:t xml:space="preserve">20 (2)</w:t>
            </w:r>
          </w:p>
        </w:tc>
      </w:tr>
      <w:tr>
        <w:tc>
          <w:tcPr>
            <w:tcW w:type="dxa" w:w="2300"/>
            <w:tcMar>
              <w:top w:type="dxa" w:w="50"/>
              <w:left w:type="dxa" w:w="80"/>
              <w:bottom w:type="dxa" w:w="50"/>
              <w:right w:type="dxa" w:w="80"/>
            </w:tcMar>
          </w:tcPr>
          <w:p>
            <w:r>
              <w:rPr>
                <w:b w:val="false"/>
                <w:bCs w:val="false"/>
                <w:sz w:val="17"/>
                <w:szCs w:val="17"/>
              </w:rPr>
              <w:t xml:space="preserve">Pen Mill</w:t>
            </w:r>
          </w:p>
        </w:tc>
        <w:tc>
          <w:tcPr>
            <w:tcW w:type="dxa" w:w="700"/>
            <w:tcMar>
              <w:top w:type="dxa" w:w="50"/>
              <w:left w:type="dxa" w:w="80"/>
              <w:bottom w:type="dxa" w:w="50"/>
              <w:right w:type="dxa" w:w="80"/>
            </w:tcMar>
          </w:tcPr>
          <w:p>
            <w:r>
              <w:rPr>
                <w:b w:val="false"/>
                <w:bCs w:val="false"/>
                <w:sz w:val="17"/>
                <w:szCs w:val="17"/>
              </w:rPr>
              <w:t xml:space="preserve">2</w:t>
            </w:r>
          </w:p>
        </w:tc>
        <w:tc>
          <w:tcPr>
            <w:tcW w:type="dxa" w:w="1100"/>
            <w:tcMar>
              <w:top w:type="dxa" w:w="50"/>
              <w:left w:type="dxa" w:w="80"/>
              <w:bottom w:type="dxa" w:w="50"/>
              <w:right w:type="dxa" w:w="80"/>
            </w:tcMar>
          </w:tcPr>
          <w:p>
            <w:r>
              <w:rPr>
                <w:b w:val="false"/>
                <w:bCs w:val="false"/>
                <w:sz w:val="17"/>
                <w:szCs w:val="17"/>
              </w:rPr>
              <w:t xml:space="preserve">33.9</w:t>
            </w:r>
          </w:p>
        </w:tc>
        <w:tc>
          <w:tcPr>
            <w:tcW w:type="dxa" w:w="1200"/>
            <w:tcMar>
              <w:top w:type="dxa" w:w="50"/>
              <w:left w:type="dxa" w:w="80"/>
              <w:bottom w:type="dxa" w:w="50"/>
              <w:right w:type="dxa" w:w="80"/>
            </w:tcMar>
          </w:tcPr>
          <w:p>
            <w:r>
              <w:rPr>
                <w:b w:val="false"/>
                <w:bCs w:val="false"/>
                <w:sz w:val="17"/>
                <w:szCs w:val="17"/>
              </w:rPr>
              <w:t xml:space="preserve">6 of 12</w:t>
            </w:r>
          </w:p>
        </w:tc>
        <w:tc>
          <w:tcPr>
            <w:tcW w:type="dxa" w:w="1900"/>
            <w:tcMar>
              <w:top w:type="dxa" w:w="50"/>
              <w:left w:type="dxa" w:w="80"/>
              <w:bottom w:type="dxa" w:w="50"/>
              <w:right w:type="dxa" w:w="80"/>
            </w:tcMar>
          </w:tcPr>
          <w:p>
            <w:r>
              <w:rPr>
                <w:b w:val="false"/>
                <w:bCs w:val="false"/>
                <w:sz w:val="17"/>
                <w:szCs w:val="17"/>
              </w:rPr>
              <w:t xml:space="preserve">SPZ at 0.6 km</w:t>
            </w:r>
          </w:p>
        </w:tc>
        <w:tc>
          <w:tcPr>
            <w:tcW w:type="dxa" w:w="1900"/>
            <w:tcMar>
              <w:top w:type="dxa" w:w="50"/>
              <w:left w:type="dxa" w:w="80"/>
              <w:bottom w:type="dxa" w:w="50"/>
              <w:right w:type="dxa" w:w="80"/>
            </w:tcMar>
          </w:tcPr>
          <w:p>
            <w:r>
              <w:rPr>
                <w:b w:val="false"/>
                <w:bCs w:val="false"/>
                <w:sz w:val="17"/>
                <w:szCs w:val="17"/>
              </w:rPr>
              <w:t xml:space="preserve">101 (18)</w:t>
            </w:r>
          </w:p>
        </w:tc>
      </w:tr>
      <w:tr>
        <w:tc>
          <w:tcPr>
            <w:tcW w:type="dxa" w:w="2300"/>
            <w:tcMar>
              <w:top w:type="dxa" w:w="50"/>
              <w:left w:type="dxa" w:w="80"/>
              <w:bottom w:type="dxa" w:w="50"/>
              <w:right w:type="dxa" w:w="80"/>
            </w:tcMar>
          </w:tcPr>
          <w:p>
            <w:r>
              <w:rPr>
                <w:b w:val="false"/>
                <w:bCs w:val="false"/>
                <w:sz w:val="17"/>
                <w:szCs w:val="17"/>
              </w:rPr>
              <w:t xml:space="preserve">Chiselborough</w:t>
            </w:r>
          </w:p>
        </w:tc>
        <w:tc>
          <w:tcPr>
            <w:tcW w:type="dxa" w:w="700"/>
            <w:tcMar>
              <w:top w:type="dxa" w:w="50"/>
              <w:left w:type="dxa" w:w="80"/>
              <w:bottom w:type="dxa" w:w="50"/>
              <w:right w:type="dxa" w:w="80"/>
            </w:tcMar>
          </w:tcPr>
          <w:p>
            <w:r>
              <w:rPr>
                <w:b w:val="false"/>
                <w:bCs w:val="false"/>
                <w:sz w:val="17"/>
                <w:szCs w:val="17"/>
              </w:rPr>
              <w:t xml:space="preserve">2</w:t>
            </w:r>
          </w:p>
        </w:tc>
        <w:tc>
          <w:tcPr>
            <w:tcW w:type="dxa" w:w="1100"/>
            <w:tcMar>
              <w:top w:type="dxa" w:w="50"/>
              <w:left w:type="dxa" w:w="80"/>
              <w:bottom w:type="dxa" w:w="50"/>
              <w:right w:type="dxa" w:w="80"/>
            </w:tcMar>
          </w:tcPr>
          <w:p>
            <w:r>
              <w:rPr>
                <w:b w:val="false"/>
                <w:bCs w:val="false"/>
                <w:sz w:val="17"/>
                <w:szCs w:val="17"/>
              </w:rPr>
              <w:t xml:space="preserve">20.1</w:t>
            </w:r>
          </w:p>
        </w:tc>
        <w:tc>
          <w:tcPr>
            <w:tcW w:type="dxa" w:w="1200"/>
            <w:tcMar>
              <w:top w:type="dxa" w:w="50"/>
              <w:left w:type="dxa" w:w="80"/>
              <w:bottom w:type="dxa" w:w="50"/>
              <w:right w:type="dxa" w:w="80"/>
            </w:tcMar>
          </w:tcPr>
          <w:p>
            <w:r>
              <w:rPr>
                <w:b w:val="false"/>
                <w:bCs w:val="false"/>
                <w:sz w:val="17"/>
                <w:szCs w:val="17"/>
              </w:rPr>
              <w:t xml:space="preserve">12 of 12</w:t>
            </w:r>
          </w:p>
        </w:tc>
        <w:tc>
          <w:tcPr>
            <w:tcW w:type="dxa" w:w="1900"/>
            <w:tcMar>
              <w:top w:type="dxa" w:w="50"/>
              <w:left w:type="dxa" w:w="80"/>
              <w:bottom w:type="dxa" w:w="50"/>
              <w:right w:type="dxa" w:w="80"/>
            </w:tcMar>
          </w:tcPr>
          <w:p>
            <w:r>
              <w:rPr>
                <w:b w:val="false"/>
                <w:bCs w:val="false"/>
                <w:sz w:val="17"/>
                <w:szCs w:val="17"/>
              </w:rPr>
              <w:t xml:space="preserve">INSIDE SPZ 2c</w:t>
            </w:r>
          </w:p>
        </w:tc>
        <w:tc>
          <w:tcPr>
            <w:tcW w:type="dxa" w:w="1900"/>
            <w:tcMar>
              <w:top w:type="dxa" w:w="50"/>
              <w:left w:type="dxa" w:w="80"/>
              <w:bottom w:type="dxa" w:w="50"/>
              <w:right w:type="dxa" w:w="80"/>
            </w:tcMar>
          </w:tcPr>
          <w:p>
            <w:r>
              <w:rPr>
                <w:b w:val="false"/>
                <w:bCs w:val="false"/>
                <w:sz w:val="17"/>
                <w:szCs w:val="17"/>
              </w:rPr>
              <w:t xml:space="preserve">7 (2)</w:t>
            </w:r>
          </w:p>
        </w:tc>
      </w:tr>
    </w:tbl>
    <w:p>
      <w:pPr>
        <w:spacing w:after="115"/>
      </w:pPr>
    </w:p>
    <w:p>
      <w:pPr>
        <w:spacing w:after="115"/>
      </w:pPr>
      <w:r>
        <w:rPr>
          <w:b/>
          <w:bCs/>
          <w:sz w:val="20"/>
          <w:szCs w:val="20"/>
        </w:rPr>
        <w:t xml:space="preserve">Two specific flags for the local work. </w:t>
      </w:r>
      <w:r>
        <w:rPr>
          <w:sz w:val="20"/>
          <w:szCs w:val="20"/>
        </w:rPr>
        <w:t xml:space="preserve">Chiselborough sits inside a Source Protection Zone (2c) and is part of the nine-gauge inflow set used in the Somerset model, where that constraint is currently not noted anywhere. And Aller Drove Bridge has 17 boreholes within 2 km with none deeper than 50 m - the thinnest evidence of any Somerset candidate. That is an investigation-cost warning, not a geological verdict.</w:t>
      </w:r>
    </w:p>
    <w:p>
      <w:pPr>
        <w:spacing w:after="115"/>
      </w:pPr>
      <w:r>
        <w:rPr>
          <w:b/>
          <w:bCs/>
          <w:sz w:val="20"/>
          <w:szCs w:val="20"/>
        </w:rPr>
        <w:t xml:space="preserve">An independent corroboration worth noting. </w:t>
      </w:r>
      <w:r>
        <w:rPr>
          <w:sz w:val="20"/>
          <w:szCs w:val="20"/>
        </w:rPr>
        <w:t xml:space="preserve">The Somerset configuration records, in a hand-written comment, that Taunton Market duplicates the Bishops Hull reach and should not be summed with it. Tracing the Ordnance Survey river network from scratch, with no knowledge of those comments, reached the same conclusion. That points at a cheap and worthwhile next job: run the same tracer over all nine Somerset inflow gauges to verify independently that none contains another. The local model's inflow total currently rests on hand-written notes; this would either confirm it or correct it, in about half a day.</w:t>
      </w:r>
    </w:p>
    <w:p>
      <w:pPr>
        <w:pStyle w:val="Heading1"/>
        <w:spacing w:after="115" w:before="250"/>
      </w:pPr>
      <w:r>
        <w:t xml:space="preserve">8. Next steps</w:t>
      </w:r>
    </w:p>
    <w:p>
      <w:pPr>
        <w:spacing w:after="90" w:before="170"/>
      </w:pPr>
      <w:r>
        <w:rPr>
          <w:b/>
          <w:bCs/>
          <w:color w:val="31708F"/>
          <w:sz w:val="21"/>
          <w:szCs w:val="21"/>
        </w:rPr>
        <w:t xml:space="preserve">What is missing, and whether open data can supply it</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600"/>
        <w:gridCol w:w="6700"/>
      </w:tblGrid>
      <w:tr>
        <w:tc>
          <w:tcPr>
            <w:tcW w:type="dxa" w:w="2600"/>
            <w:shd w:fill="DCE6F1" w:val="clear"/>
            <w:tcMar>
              <w:top w:type="dxa" w:w="50"/>
              <w:left w:type="dxa" w:w="80"/>
              <w:bottom w:type="dxa" w:w="50"/>
              <w:right w:type="dxa" w:w="80"/>
            </w:tcMar>
          </w:tcPr>
          <w:p>
            <w:r>
              <w:rPr>
                <w:b/>
                <w:bCs/>
                <w:sz w:val="17"/>
                <w:szCs w:val="17"/>
              </w:rPr>
              <w:t xml:space="preserve">What is missing</w:t>
            </w:r>
          </w:p>
        </w:tc>
        <w:tc>
          <w:tcPr>
            <w:tcW w:type="dxa" w:w="6700"/>
            <w:shd w:fill="DCE6F1" w:val="clear"/>
            <w:tcMar>
              <w:top w:type="dxa" w:w="50"/>
              <w:left w:type="dxa" w:w="80"/>
              <w:bottom w:type="dxa" w:w="50"/>
              <w:right w:type="dxa" w:w="80"/>
            </w:tcMar>
          </w:tcPr>
          <w:p>
            <w:r>
              <w:rPr>
                <w:b/>
                <w:bCs/>
                <w:sz w:val="17"/>
                <w:szCs w:val="17"/>
              </w:rPr>
              <w:t xml:space="preserve">Can open data fix it?</w:t>
            </w:r>
          </w:p>
        </w:tc>
      </w:tr>
      <w:tr>
        <w:tc>
          <w:tcPr>
            <w:tcW w:type="dxa" w:w="2600"/>
            <w:tcMar>
              <w:top w:type="dxa" w:w="50"/>
              <w:left w:type="dxa" w:w="80"/>
              <w:bottom w:type="dxa" w:w="50"/>
              <w:right w:type="dxa" w:w="80"/>
            </w:tcMar>
          </w:tcPr>
          <w:p>
            <w:r>
              <w:rPr>
                <w:b w:val="false"/>
                <w:bCs w:val="false"/>
                <w:sz w:val="17"/>
                <w:szCs w:val="17"/>
              </w:rPr>
              <w:t xml:space="preserve">Aquifer storage capacity - absent entirely</w:t>
            </w:r>
          </w:p>
        </w:tc>
        <w:tc>
          <w:tcPr>
            <w:tcW w:type="dxa" w:w="6700"/>
            <w:tcMar>
              <w:top w:type="dxa" w:w="50"/>
              <w:left w:type="dxa" w:w="80"/>
              <w:bottom w:type="dxa" w:w="50"/>
              <w:right w:type="dxa" w:w="80"/>
            </w:tcMar>
          </w:tcPr>
          <w:p>
            <w:r>
              <w:rPr>
                <w:b w:val="false"/>
                <w:bCs w:val="false"/>
                <w:sz w:val="17"/>
                <w:szCs w:val="17"/>
              </w:rPr>
              <w:t xml:space="preserve">Partly. Outcrop area is known; specific yield and usable thickness are not published spatially. A bounded estimate with stated assumptions is possible; real numbers need the BGS Aquifer Properties Manual, which no public service supplies.</w:t>
            </w:r>
          </w:p>
        </w:tc>
      </w:tr>
      <w:tr>
        <w:tc>
          <w:tcPr>
            <w:tcW w:type="dxa" w:w="2600"/>
            <w:tcMar>
              <w:top w:type="dxa" w:w="50"/>
              <w:left w:type="dxa" w:w="80"/>
              <w:bottom w:type="dxa" w:w="50"/>
              <w:right w:type="dxa" w:w="80"/>
            </w:tcMar>
          </w:tcPr>
          <w:p>
            <w:r>
              <w:rPr>
                <w:b w:val="false"/>
                <w:bCs w:val="false"/>
                <w:sz w:val="17"/>
                <w:szCs w:val="17"/>
              </w:rPr>
              <w:t xml:space="preserve">Confinement - only a crude proxy</w:t>
            </w:r>
          </w:p>
        </w:tc>
        <w:tc>
          <w:tcPr>
            <w:tcW w:type="dxa" w:w="6700"/>
            <w:tcMar>
              <w:top w:type="dxa" w:w="50"/>
              <w:left w:type="dxa" w:w="80"/>
              <w:bottom w:type="dxa" w:w="50"/>
              <w:right w:type="dxa" w:w="80"/>
            </w:tcMar>
          </w:tcPr>
          <w:p>
            <w:r>
              <w:rPr>
                <w:b w:val="false"/>
                <w:bCs w:val="false"/>
                <w:sz w:val="17"/>
                <w:szCs w:val="17"/>
              </w:rPr>
              <w:t xml:space="preserve">No. The groundwater body dataset has no confinement attribute at all - checked across all 271 bodies in England. It needs borehole logs read by a person, and we now hold 248,516 scan links to read from.</w:t>
            </w:r>
          </w:p>
        </w:tc>
      </w:tr>
      <w:tr>
        <w:tc>
          <w:tcPr>
            <w:tcW w:type="dxa" w:w="2600"/>
            <w:tcMar>
              <w:top w:type="dxa" w:w="50"/>
              <w:left w:type="dxa" w:w="80"/>
              <w:bottom w:type="dxa" w:w="50"/>
              <w:right w:type="dxa" w:w="80"/>
            </w:tcMar>
          </w:tcPr>
          <w:p>
            <w:r>
              <w:rPr>
                <w:b w:val="false"/>
                <w:bCs w:val="false"/>
                <w:sz w:val="17"/>
                <w:szCs w:val="17"/>
              </w:rPr>
              <w:t xml:space="preserve">Abstraction licences and existing users</w:t>
            </w:r>
          </w:p>
        </w:tc>
        <w:tc>
          <w:tcPr>
            <w:tcW w:type="dxa" w:w="6700"/>
            <w:tcMar>
              <w:top w:type="dxa" w:w="50"/>
              <w:left w:type="dxa" w:w="80"/>
              <w:bottom w:type="dxa" w:w="50"/>
              <w:right w:type="dxa" w:w="80"/>
            </w:tcMar>
          </w:tcPr>
          <w:p>
            <w:r>
              <w:rPr>
                <w:b w:val="false"/>
                <w:bCs w:val="false"/>
                <w:sz w:val="17"/>
                <w:szCs w:val="17"/>
              </w:rPr>
              <w:t xml:space="preserve">Probably yes. The EA publishes licence data; not yet integrated. This is the biggest missing constraint.</w:t>
            </w:r>
          </w:p>
        </w:tc>
      </w:tr>
      <w:tr>
        <w:tc>
          <w:tcPr>
            <w:tcW w:type="dxa" w:w="2600"/>
            <w:tcMar>
              <w:top w:type="dxa" w:w="50"/>
              <w:left w:type="dxa" w:w="80"/>
              <w:bottom w:type="dxa" w:w="50"/>
              <w:right w:type="dxa" w:w="80"/>
            </w:tcMar>
          </w:tcPr>
          <w:p>
            <w:r>
              <w:rPr>
                <w:b w:val="false"/>
                <w:bCs w:val="false"/>
                <w:sz w:val="17"/>
                <w:szCs w:val="17"/>
              </w:rPr>
              <w:t xml:space="preserve">Demand - who actually needs the water</w:t>
            </w:r>
          </w:p>
        </w:tc>
        <w:tc>
          <w:tcPr>
            <w:tcW w:type="dxa" w:w="6700"/>
            <w:tcMar>
              <w:top w:type="dxa" w:w="50"/>
              <w:left w:type="dxa" w:w="80"/>
              <w:bottom w:type="dxa" w:w="50"/>
              <w:right w:type="dxa" w:w="80"/>
            </w:tcMar>
          </w:tcPr>
          <w:p>
            <w:r>
              <w:rPr>
                <w:b w:val="false"/>
                <w:bCs w:val="false"/>
                <w:sz w:val="17"/>
                <w:szCs w:val="17"/>
              </w:rPr>
              <w:t xml:space="preserve">Yes. Water company resource plans and Water Resource Zones are open. Water far from demand is not an opportunity.</w:t>
            </w:r>
          </w:p>
        </w:tc>
      </w:tr>
      <w:tr>
        <w:tc>
          <w:tcPr>
            <w:tcW w:type="dxa" w:w="2600"/>
            <w:tcMar>
              <w:top w:type="dxa" w:w="50"/>
              <w:left w:type="dxa" w:w="80"/>
              <w:bottom w:type="dxa" w:w="50"/>
              <w:right w:type="dxa" w:w="80"/>
            </w:tcMar>
          </w:tcPr>
          <w:p>
            <w:r>
              <w:rPr>
                <w:b w:val="false"/>
                <w:bCs w:val="false"/>
                <w:sz w:val="17"/>
                <w:szCs w:val="17"/>
              </w:rPr>
              <w:t xml:space="preserve">How fast an aquifer will accept water</w:t>
            </w:r>
          </w:p>
        </w:tc>
        <w:tc>
          <w:tcPr>
            <w:tcW w:type="dxa" w:w="6700"/>
            <w:tcMar>
              <w:top w:type="dxa" w:w="50"/>
              <w:left w:type="dxa" w:w="80"/>
              <w:bottom w:type="dxa" w:w="50"/>
              <w:right w:type="dxa" w:w="80"/>
            </w:tcMar>
          </w:tcPr>
          <w:p>
            <w:r>
              <w:rPr>
                <w:b w:val="false"/>
                <w:bCs w:val="false"/>
                <w:sz w:val="17"/>
                <w:szCs w:val="17"/>
              </w:rPr>
              <w:t xml:space="preserve">No. Requires field testing.</w:t>
            </w:r>
          </w:p>
        </w:tc>
      </w:tr>
    </w:tbl>
    <w:p>
      <w:pPr>
        <w:spacing w:after="115"/>
      </w:pPr>
    </w:p>
    <w:p>
      <w:pPr>
        <w:spacing w:after="90" w:before="170"/>
      </w:pPr>
      <w:r>
        <w:rPr>
          <w:b/>
          <w:bCs/>
          <w:color w:val="31708F"/>
          <w:sz w:val="21"/>
          <w:szCs w:val="21"/>
        </w:rPr>
        <w:t xml:space="preserve">Analyses possible with data already held</w:t>
      </w:r>
    </w:p>
    <w:p>
      <w:pPr>
        <w:pStyle w:val="ListParagraph"/>
        <w:numPr>
          <w:ilvl w:val="0"/>
          <w:numId w:val="2"/>
        </w:numPr>
        <w:spacing w:after="75"/>
      </w:pPr>
      <w:r>
        <w:rPr>
          <w:b/>
          <w:bCs/>
          <w:sz w:val="20"/>
          <w:szCs w:val="20"/>
        </w:rPr>
        <w:t xml:space="preserve">Drought sensitivity: </w:t>
      </w:r>
      <w:r>
        <w:rPr>
          <w:sz w:val="20"/>
          <w:szCs w:val="20"/>
        </w:rPr>
        <w:t xml:space="preserve">recompute divertible volume on the three driest water years per station, which answers 'does this survive a dry decade' without needing climate projections.</w:t>
      </w:r>
    </w:p>
    <w:p>
      <w:pPr>
        <w:pStyle w:val="ListParagraph"/>
        <w:numPr>
          <w:ilvl w:val="0"/>
          <w:numId w:val="2"/>
        </w:numPr>
        <w:spacing w:after="75"/>
      </w:pPr>
      <w:r>
        <w:rPr>
          <w:b/>
          <w:bCs/>
          <w:sz w:val="20"/>
          <w:szCs w:val="20"/>
        </w:rPr>
        <w:t xml:space="preserve">Threshold sweep: </w:t>
      </w:r>
      <w:r>
        <w:rPr>
          <w:sz w:val="20"/>
          <w:szCs w:val="20"/>
        </w:rPr>
        <w:t xml:space="preserve">test whether the 20 Mm3/yr and 15 km cut-offs do real work or simply sit in a gap in the data.</w:t>
      </w:r>
    </w:p>
    <w:p>
      <w:pPr>
        <w:pStyle w:val="ListParagraph"/>
        <w:numPr>
          <w:ilvl w:val="0"/>
          <w:numId w:val="2"/>
        </w:numPr>
        <w:spacing w:after="75"/>
      </w:pPr>
      <w:r>
        <w:rPr>
          <w:b/>
          <w:bCs/>
          <w:sz w:val="20"/>
          <w:szCs w:val="20"/>
        </w:rPr>
        <w:t xml:space="preserve">Distance to demand: </w:t>
      </w:r>
      <w:r>
        <w:rPr>
          <w:sz w:val="20"/>
          <w:szCs w:val="20"/>
        </w:rPr>
        <w:t xml:space="preserve">water far from anyone who needs it is not an opportunity. Water Resource Zones are open data, and this is a genuinely new axis that would reorder the table.</w:t>
      </w:r>
    </w:p>
    <w:p>
      <w:pPr>
        <w:pStyle w:val="ListParagraph"/>
        <w:numPr>
          <w:ilvl w:val="0"/>
          <w:numId w:val="2"/>
        </w:numPr>
        <w:spacing w:after="75"/>
      </w:pPr>
      <w:r>
        <w:rPr>
          <w:b/>
          <w:bCs/>
          <w:sz w:val="20"/>
          <w:szCs w:val="20"/>
        </w:rPr>
        <w:t xml:space="preserve">A first-order storage bound for tier 1: </w:t>
      </w:r>
      <w:r>
        <w:rPr>
          <w:sz w:val="20"/>
          <w:szCs w:val="20"/>
        </w:rPr>
        <w:t xml:space="preserve">outcrop area multiplied by a plausible range of specific yield and usable thickness. Crude, but it would let the screen say whether the resource exceeds plausible storage - which is a stronger claim than it currently makes.</w:t>
      </w:r>
    </w:p>
    <w:p>
      <w:pPr>
        <w:pStyle w:val="ListParagraph"/>
        <w:numPr>
          <w:ilvl w:val="0"/>
          <w:numId w:val="2"/>
        </w:numPr>
        <w:spacing w:after="75"/>
      </w:pPr>
      <w:r>
        <w:rPr>
          <w:b/>
          <w:bCs/>
          <w:sz w:val="20"/>
          <w:szCs w:val="20"/>
        </w:rPr>
        <w:t xml:space="preserve">Borehole log triage: </w:t>
      </w:r>
      <w:r>
        <w:rPr>
          <w:sz w:val="20"/>
          <w:szCs w:val="20"/>
        </w:rPr>
        <w:t xml:space="preserve">the deep holes on aquifer outcrop near each candidate already have scan links attached. The top twenty could be read by a person.</w:t>
      </w:r>
    </w:p>
    <w:p>
      <w:pPr>
        <w:spacing w:before="170"/>
      </w:pPr>
      <w:r>
        <w:rPr>
          <w:i/>
          <w:iCs/>
          <w:color w:val="666666"/>
          <w:sz w:val="16"/>
          <w:szCs w:val="16"/>
        </w:rPr>
        <w:t xml:space="preserve">All code, method and intermediate figures are held in the project repository. Data fetchers are resumable and rate-limited; raw downloads are never modified after collection. Attribution: flow data (c) Environment Agency, OGL v3. Geology and borehole index (c) UKRI / BGS. Groundwater bodies, basin districts and Source Protection Zones (c) Environment Agency, OGL v3. Protected sites (c) Natural England, OGL v3. Chalk streams (c) The Rivers Trust. Contains OS data (c) Crown copyright and database right 2026.</w:t>
      </w:r>
    </w:p>
    <w:sectPr>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340" w:hanging="1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b/>
      <w:bCs/>
      <w:color w:val="1F4E79"/>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2fd31c328a1abb03bc6198a0175d33e9d18cbffa.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2026-08-07T07:48:10.031Z</dcterms:created>
  <dcterms:modified xsi:type="dcterms:W3CDTF">2026-08-07T07:48:10.040Z</dcterms:modified>
</cp:coreProperties>
</file>

<file path=docProps/custom.xml><?xml version="1.0" encoding="utf-8"?>
<Properties xmlns="http://schemas.openxmlformats.org/officeDocument/2006/custom-properties" xmlns:vt="http://schemas.openxmlformats.org/officeDocument/2006/docPropsVTypes"/>
</file>